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tabs>
          <w:tab w:val="left" w:pos="7267"/>
        </w:tabs>
        <w:jc w:val="center"/>
        <w:rPr>
          <w:rFonts w:ascii="Arial" w:eastAsia="Arial" w:hAnsi="Arial" w:cs="Arial"/>
          <w:b/>
          <w:color w:val="FF0000"/>
          <w:sz w:val="22"/>
          <w:szCs w:val="22"/>
        </w:rPr>
      </w:pPr>
      <w:bookmarkStart w:id="0" w:name="_GoBack"/>
      <w:bookmarkEnd w:id="0"/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I - ESTUDO TÉCNICO PRELIMINAR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INTRODUÇÃO </w:t>
      </w:r>
    </w:p>
    <w:p w:rsidR="000C1955" w:rsidRDefault="008B2F68" w:rsidP="00962A7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O presente Estudo Técnico Preliminar (ETP) tem como objetivo fundamentar a contratação de empresas especializadas na locação, montagem, operação e serviços correlatos de painéis de LED, bem como na locação de banheiros químicos, incluindo unidades adaptadas para PCD.</w:t>
      </w:r>
    </w:p>
    <w:p w:rsidR="00282CD3" w:rsidRDefault="008B2F68" w:rsidP="00282CD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A contratação desses serviços é necessária para atender às demandas da Secretaria Municipal de Turismo e da Secretaria Municipal de Cultura, garantindo infraestrutura adequada para a realização de eventos, apresentações culturais e festivais, assegurando visibilidade, qualidade, conforto, segurança e boa experiência ao público.</w:t>
      </w:r>
    </w:p>
    <w:p w:rsidR="000C1955" w:rsidRDefault="00AC263A" w:rsidP="00282CD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00" w:beforeAutospacing="1" w:line="360" w:lineRule="auto"/>
        <w:ind w:left="0" w:firstLine="426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DIRETRIZES QUE NORTEARÃO ESTE </w:t>
      </w:r>
      <w:r w:rsidR="008B2F68">
        <w:rPr>
          <w:rFonts w:ascii="Arial" w:eastAsia="Arial" w:hAnsi="Arial" w:cs="Arial"/>
          <w:b/>
          <w:color w:val="000000"/>
          <w:sz w:val="22"/>
          <w:szCs w:val="22"/>
        </w:rPr>
        <w:t xml:space="preserve">ETP </w:t>
      </w:r>
    </w:p>
    <w:p w:rsidR="000C1955" w:rsidRDefault="008B2F68" w:rsidP="00282CD3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2.1. Lei Federal 14.133/21, de 01 de abril de 2021;</w:t>
      </w:r>
    </w:p>
    <w:p w:rsidR="000C1955" w:rsidRDefault="008B2F68" w:rsidP="00282CD3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2.2. Plano de Contratação Anual – 2025;</w:t>
      </w:r>
    </w:p>
    <w:p w:rsidR="00282CD3" w:rsidRDefault="008B2F68" w:rsidP="00282CD3">
      <w:pPr>
        <w:keepLines/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2.3. Serão levadas em consideração tais legislações citadas, suas alterações posteriores e demais legislações pertinentes. </w:t>
      </w:r>
    </w:p>
    <w:p w:rsidR="00282CD3" w:rsidRPr="00282CD3" w:rsidRDefault="00282CD3" w:rsidP="00282CD3">
      <w:pPr>
        <w:keepLines/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DESCRIÇÃO DA NECESSIDADE 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de empresas especializadas na locação, montagem, operação e serviços correlatos de painéis de LED, bem como na locação de banheiros químicos, incluindo unidades adaptadas para PCD, se faz necessária para garantir infraestrutura adequada para a realização de eventos, apresentações culturais, festivais e demais ações de promoção turística e cultural do município.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Estes serviços possibilitam maior visibilidade e qualidade na exibição de conteúdos audiovisuais, além de oferecer condições sanitárias adequadas e conforto ao público, assegurando que os eventos ocorram de forma organizada, segura e com impacto positivo para a comunidade local.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Ressalta-se que a definição da quantidade de banheiros químicos e das dimensões dos painéis de LED depende de variáveis que só podem ser verificadas próximos à data do evento, como o tamanho e o tipo do evento, a previsão de público, a ocorrência de outros </w:t>
      </w:r>
      <w:r>
        <w:rPr>
          <w:rFonts w:ascii="Arial" w:eastAsia="Arial" w:hAnsi="Arial" w:cs="Arial"/>
          <w:sz w:val="22"/>
          <w:szCs w:val="22"/>
        </w:rPr>
        <w:lastRenderedPageBreak/>
        <w:t>eventos na região, condições climáticas e limitações do espaço físico. Por esse motivo, o dimensionamento desses itens será próximo à realização do evento, garantindo segurança, conforto e eficiência na execução dos serviços.</w:t>
      </w:r>
    </w:p>
    <w:p w:rsidR="000C1955" w:rsidRDefault="000C1955">
      <w:pPr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color w:val="FF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4. SECRETARIA REQUISITANTE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Secretaria de Turismo e Secretaria de Cultura.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:rsidR="000C1955" w:rsidRPr="0052437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 w:rsidRPr="00524375">
        <w:rPr>
          <w:rFonts w:ascii="Arial" w:eastAsia="Arial" w:hAnsi="Arial" w:cs="Arial"/>
          <w:b/>
          <w:sz w:val="22"/>
          <w:szCs w:val="22"/>
        </w:rPr>
        <w:t xml:space="preserve">PREVISÃO DA DEMANDA NO PLANO ANUAL DE CONTRATAÇÕES (PCA) DE </w:t>
      </w:r>
      <w:r w:rsidR="00F51447" w:rsidRPr="00F51447">
        <w:rPr>
          <w:rFonts w:ascii="Arial" w:eastAsia="Arial" w:hAnsi="Arial" w:cs="Arial"/>
          <w:b/>
          <w:sz w:val="22"/>
          <w:szCs w:val="22"/>
        </w:rPr>
        <w:t>202</w:t>
      </w:r>
      <w:r w:rsidR="00F51447">
        <w:rPr>
          <w:rFonts w:ascii="Arial" w:eastAsia="Arial" w:hAnsi="Arial" w:cs="Arial"/>
          <w:b/>
          <w:sz w:val="22"/>
          <w:szCs w:val="22"/>
        </w:rPr>
        <w:t>6</w:t>
      </w:r>
      <w:r w:rsidRPr="00524375">
        <w:rPr>
          <w:rFonts w:ascii="Arial" w:eastAsia="Arial" w:hAnsi="Arial" w:cs="Arial"/>
          <w:b/>
          <w:sz w:val="22"/>
          <w:szCs w:val="22"/>
        </w:rPr>
        <w:t>:</w:t>
      </w:r>
    </w:p>
    <w:p w:rsidR="000C1955" w:rsidRPr="00524375" w:rsidRDefault="000C1955" w:rsidP="00F51447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sz w:val="22"/>
          <w:szCs w:val="22"/>
        </w:rPr>
      </w:pPr>
    </w:p>
    <w:p w:rsidR="000C1955" w:rsidRPr="00F51447" w:rsidRDefault="008B2F68">
      <w:pPr>
        <w:ind w:left="72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F51447">
        <w:rPr>
          <w:rFonts w:ascii="Arial" w:eastAsia="Arial" w:hAnsi="Arial" w:cs="Arial"/>
          <w:sz w:val="22"/>
          <w:szCs w:val="22"/>
        </w:rPr>
        <w:t>Ação nº 184</w:t>
      </w:r>
      <w:r w:rsidR="00F51447" w:rsidRPr="00F51447">
        <w:rPr>
          <w:rFonts w:ascii="Arial" w:eastAsia="Arial" w:hAnsi="Arial" w:cs="Arial"/>
          <w:sz w:val="22"/>
          <w:szCs w:val="22"/>
        </w:rPr>
        <w:t xml:space="preserve"> - </w:t>
      </w:r>
      <w:r w:rsidR="00F51447" w:rsidRPr="00F51447">
        <w:rPr>
          <w:rFonts w:ascii="Arial" w:hAnsi="Arial" w:cs="Arial"/>
          <w:sz w:val="22"/>
          <w:szCs w:val="22"/>
        </w:rPr>
        <w:t>Prestação de Serviços lo</w:t>
      </w:r>
      <w:r w:rsidR="00F51447">
        <w:rPr>
          <w:rFonts w:ascii="Arial" w:hAnsi="Arial" w:cs="Arial"/>
          <w:sz w:val="22"/>
          <w:szCs w:val="22"/>
        </w:rPr>
        <w:t>cação de banheiros, Painel de Le</w:t>
      </w:r>
      <w:r w:rsidR="00F51447" w:rsidRPr="00F51447">
        <w:rPr>
          <w:rFonts w:ascii="Arial" w:hAnsi="Arial" w:cs="Arial"/>
          <w:sz w:val="22"/>
          <w:szCs w:val="22"/>
        </w:rPr>
        <w:t>d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REQUISITOS DA CONTRATAÇÃO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b/>
          <w:sz w:val="22"/>
          <w:szCs w:val="22"/>
        </w:rPr>
      </w:pPr>
    </w:p>
    <w:p w:rsidR="000C1955" w:rsidRDefault="008B2F68">
      <w:pPr>
        <w:widowControl w:val="0"/>
        <w:numPr>
          <w:ilvl w:val="0"/>
          <w:numId w:val="2"/>
        </w:numPr>
        <w:spacing w:line="360" w:lineRule="auto"/>
        <w:ind w:left="42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Fornecimento, montagem, operação e manutenção de painéis de LED adequados ao porte e às necessidades de cada evento, garantindo qualidade na exibição de conteúdos audiovisuais e suporte técnico especializado durante todo o período de utilização.</w:t>
      </w:r>
    </w:p>
    <w:p w:rsidR="000C1955" w:rsidRDefault="008B2F68">
      <w:pPr>
        <w:widowControl w:val="0"/>
        <w:numPr>
          <w:ilvl w:val="0"/>
          <w:numId w:val="2"/>
        </w:numPr>
        <w:spacing w:line="360" w:lineRule="auto"/>
        <w:ind w:left="42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Locação de banheiros químicos, incluindo unidades adaptadas para PCD, em quantidade compatível com o público estimado, com limpeza e manutenção durante os eventos.</w:t>
      </w:r>
    </w:p>
    <w:p w:rsidR="000C1955" w:rsidRDefault="008B2F68">
      <w:pPr>
        <w:widowControl w:val="0"/>
        <w:numPr>
          <w:ilvl w:val="0"/>
          <w:numId w:val="2"/>
        </w:numPr>
        <w:spacing w:line="360" w:lineRule="auto"/>
        <w:ind w:left="42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Flexibilidade para dimensionamento dos equipamentos e estruturas conforme as características específicas de cada evento, considerando variáveis como público, espaço físico, datas e condições climáticas.</w:t>
      </w:r>
    </w:p>
    <w:p w:rsidR="000C1955" w:rsidRDefault="008B2F68">
      <w:pPr>
        <w:widowControl w:val="0"/>
        <w:numPr>
          <w:ilvl w:val="0"/>
          <w:numId w:val="2"/>
        </w:numPr>
        <w:spacing w:line="360" w:lineRule="auto"/>
        <w:ind w:left="42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Cumprimento de todas as normas de segurança, acessibilidade, higiene e regulamentações aplicáveis.</w:t>
      </w:r>
    </w:p>
    <w:p w:rsidR="000C1955" w:rsidRDefault="008B2F68">
      <w:pPr>
        <w:widowControl w:val="0"/>
        <w:numPr>
          <w:ilvl w:val="0"/>
          <w:numId w:val="2"/>
        </w:numPr>
        <w:spacing w:line="360" w:lineRule="auto"/>
        <w:ind w:left="42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Disponibilidade para atendimento em diferentes locais e datas, conforme a programação da Secretaria Municipal de Turismo e da Secretaria Municipal de Cultura.</w:t>
      </w: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LEVANTAMENTO DE MERCADO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 mercado dispõe de inúmeras empresas na região que oferecem esse serviço, foram analisadas contratações similares feitas por outros órgãos e entidades, por meio de consultas ao painel de preços governamental e contratações de municípios vizinhos, essa contratação já é realizada a muito tempo pela administração municipal, devido à natureza do serviço ser comum.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7.1 – IDENTIFICAÇÃO DAS SOLUÇÕES</w:t>
      </w: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tbl>
      <w:tblPr>
        <w:tblStyle w:val="a6"/>
        <w:tblW w:w="8788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00"/>
        <w:gridCol w:w="8188"/>
      </w:tblGrid>
      <w:tr w:rsidR="000C1955">
        <w:tc>
          <w:tcPr>
            <w:tcW w:w="600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Id</w:t>
            </w:r>
          </w:p>
        </w:tc>
        <w:tc>
          <w:tcPr>
            <w:tcW w:w="8188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Descrição da solução (ou cenário)</w:t>
            </w:r>
          </w:p>
        </w:tc>
      </w:tr>
      <w:tr w:rsidR="000C1955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rPr>
                <w:rFonts w:ascii="Arial" w:eastAsia="Arial" w:hAnsi="Arial" w:cs="Arial"/>
                <w:color w:val="000000"/>
                <w:sz w:val="22"/>
                <w:szCs w:val="22"/>
                <w:highlight w:val="lightGray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Compra</w:t>
            </w:r>
          </w:p>
        </w:tc>
      </w:tr>
      <w:tr w:rsidR="000C1955">
        <w:tc>
          <w:tcPr>
            <w:tcW w:w="600" w:type="dxa"/>
            <w:tcBorders>
              <w:left w:val="single" w:sz="4" w:space="0" w:color="808080"/>
              <w:bottom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302"/>
              </w:tabs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8188" w:type="dxa"/>
            <w:tcBorders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:rsidR="000C1955" w:rsidRDefault="008B2F68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Locação</w:t>
            </w:r>
          </w:p>
        </w:tc>
      </w:tr>
    </w:tbl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7.2 – ANÁLISE COMPARATIVA DE SOLUÇÕES</w:t>
      </w: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color w:val="FF3333"/>
          <w:sz w:val="22"/>
          <w:szCs w:val="22"/>
          <w:highlight w:val="white"/>
        </w:rPr>
      </w:pPr>
    </w:p>
    <w:tbl>
      <w:tblPr>
        <w:tblStyle w:val="a7"/>
        <w:tblW w:w="8800" w:type="dxa"/>
        <w:tblInd w:w="-13" w:type="dxa"/>
        <w:tblLayout w:type="fixed"/>
        <w:tblLook w:val="0400" w:firstRow="0" w:lastRow="0" w:firstColumn="0" w:lastColumn="0" w:noHBand="0" w:noVBand="1"/>
      </w:tblPr>
      <w:tblGrid>
        <w:gridCol w:w="5450"/>
        <w:gridCol w:w="1250"/>
        <w:gridCol w:w="713"/>
        <w:gridCol w:w="662"/>
        <w:gridCol w:w="725"/>
      </w:tblGrid>
      <w:tr w:rsidR="000C1955">
        <w:trPr>
          <w:trHeight w:val="567"/>
          <w:tblHeader/>
        </w:trPr>
        <w:tc>
          <w:tcPr>
            <w:tcW w:w="5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Requisito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Solução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Sim</w:t>
            </w:r>
          </w:p>
        </w:tc>
        <w:tc>
          <w:tcPr>
            <w:tcW w:w="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Não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Não se aplica</w:t>
            </w:r>
          </w:p>
        </w:tc>
      </w:tr>
      <w:tr w:rsidR="000C1955">
        <w:tc>
          <w:tcPr>
            <w:tcW w:w="5450" w:type="dxa"/>
            <w:vMerge w:val="restart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"/>
                <w:tab w:val="left" w:pos="482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 solução encontra-se implantada em outro órgão ou entidade da Administração?</w:t>
            </w: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1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C1955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2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C1955">
        <w:tc>
          <w:tcPr>
            <w:tcW w:w="5450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25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N</w:t>
            </w:r>
          </w:p>
        </w:tc>
        <w:tc>
          <w:tcPr>
            <w:tcW w:w="71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66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FF3333"/>
                <w:sz w:val="22"/>
                <w:szCs w:val="22"/>
              </w:rPr>
            </w:pPr>
          </w:p>
        </w:tc>
        <w:tc>
          <w:tcPr>
            <w:tcW w:w="7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color w:val="000000"/>
          <w:sz w:val="22"/>
          <w:szCs w:val="22"/>
          <w:highlight w:val="white"/>
        </w:rPr>
      </w:pPr>
    </w:p>
    <w:p w:rsidR="000C1955" w:rsidRPr="00AC263A" w:rsidRDefault="008B2F68" w:rsidP="00AC263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jc w:val="both"/>
        <w:rPr>
          <w:rFonts w:ascii="Arial" w:eastAsia="Arial" w:hAnsi="Arial" w:cs="Arial"/>
          <w:b/>
          <w:color w:val="000000"/>
          <w:sz w:val="22"/>
          <w:szCs w:val="22"/>
          <w:highlight w:val="white"/>
        </w:rPr>
      </w:pPr>
      <w:r>
        <w:rPr>
          <w:rFonts w:ascii="Arial" w:eastAsia="Arial" w:hAnsi="Arial" w:cs="Arial"/>
          <w:b/>
          <w:color w:val="000000"/>
          <w:sz w:val="22"/>
          <w:szCs w:val="22"/>
          <w:highlight w:val="white"/>
        </w:rPr>
        <w:t>7.3.  REGISTRO DE SOLUÇÕES CONSIDERADAS INVIÁVEIS</w:t>
      </w:r>
    </w:p>
    <w:p w:rsidR="000C1955" w:rsidRDefault="008B2F68" w:rsidP="00962A73">
      <w:pPr>
        <w:spacing w:before="240"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Solução 01 – Compra de Painéis de LED e Banheiros Químicos:</w:t>
      </w:r>
      <w:r>
        <w:rPr>
          <w:rFonts w:ascii="Arial" w:eastAsia="Arial" w:hAnsi="Arial" w:cs="Arial"/>
          <w:b/>
          <w:sz w:val="22"/>
          <w:szCs w:val="22"/>
        </w:rPr>
        <w:br/>
      </w:r>
      <w:r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ab/>
        <w:t>A alternativa de aquisição direta desses equipamentos foi considerada inviável pelos seguintes motivos:</w:t>
      </w:r>
    </w:p>
    <w:p w:rsidR="000C1955" w:rsidRDefault="008B2F68">
      <w:pPr>
        <w:numPr>
          <w:ilvl w:val="0"/>
          <w:numId w:val="3"/>
        </w:numPr>
        <w:spacing w:before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Investimento elevado:</w:t>
      </w:r>
      <w:r>
        <w:rPr>
          <w:rFonts w:ascii="Arial" w:eastAsia="Arial" w:hAnsi="Arial" w:cs="Arial"/>
          <w:sz w:val="22"/>
          <w:szCs w:val="22"/>
        </w:rPr>
        <w:t xml:space="preserve"> a compra de painéis de LED e de banheiros químicos demandaria um desembolso inicial significativo, impactando diretamente o orçamento municipal;</w:t>
      </w:r>
    </w:p>
    <w:p w:rsidR="000C1955" w:rsidRDefault="008B2F68">
      <w:pPr>
        <w:numPr>
          <w:ilvl w:val="0"/>
          <w:numId w:val="3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Manutenção contínua:</w:t>
      </w:r>
      <w:r>
        <w:rPr>
          <w:rFonts w:ascii="Arial" w:eastAsia="Arial" w:hAnsi="Arial" w:cs="Arial"/>
          <w:sz w:val="22"/>
          <w:szCs w:val="22"/>
        </w:rPr>
        <w:t xml:space="preserve"> ambos os equipamentos implicam custos adicionais com manutenção preventiva e corretiva, limpeza (no caso dos banheiros) e atualização tecnológica (no caso dos painéis), além de eventuais reparos;</w:t>
      </w:r>
    </w:p>
    <w:p w:rsidR="000C1955" w:rsidRDefault="008B2F68">
      <w:pPr>
        <w:numPr>
          <w:ilvl w:val="0"/>
          <w:numId w:val="3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Armazenamento:</w:t>
      </w:r>
      <w:r>
        <w:rPr>
          <w:rFonts w:ascii="Arial" w:eastAsia="Arial" w:hAnsi="Arial" w:cs="Arial"/>
          <w:sz w:val="22"/>
          <w:szCs w:val="22"/>
        </w:rPr>
        <w:t xml:space="preserve"> seria necessária a disponibilização de espaço físico adequado para guardar os painéis e os banheiros químicos quando não estivessem em uso, o que geraria custos logísticos e estruturais;</w:t>
      </w:r>
    </w:p>
    <w:p w:rsidR="000C1955" w:rsidRDefault="008B2F68">
      <w:pPr>
        <w:numPr>
          <w:ilvl w:val="0"/>
          <w:numId w:val="3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Obsolescência tecnológica e desgaste físico:</w:t>
      </w:r>
      <w:r>
        <w:rPr>
          <w:rFonts w:ascii="Arial" w:eastAsia="Arial" w:hAnsi="Arial" w:cs="Arial"/>
          <w:sz w:val="22"/>
          <w:szCs w:val="22"/>
        </w:rPr>
        <w:t xml:space="preserve"> os painéis de LED podem se tornar rapidamente desatualizados, exigindo novas aquisições em pouco tempo. Já os banheiros químicos, devido ao uso eventual, podem se deteriorar com o tempo se não forem utilizados e mantidos regularmente;</w:t>
      </w:r>
    </w:p>
    <w:p w:rsidR="000C1955" w:rsidRDefault="008B2F68">
      <w:pPr>
        <w:numPr>
          <w:ilvl w:val="0"/>
          <w:numId w:val="3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Baixa utilização:</w:t>
      </w:r>
      <w:r>
        <w:rPr>
          <w:rFonts w:ascii="Arial" w:eastAsia="Arial" w:hAnsi="Arial" w:cs="Arial"/>
          <w:sz w:val="22"/>
          <w:szCs w:val="22"/>
        </w:rPr>
        <w:t xml:space="preserve"> considerando que os eventos municipais ocorrem de forma pontual e sazonal, a aquisição não se mostraria economicamente justificável frente à frequência de uso;</w:t>
      </w:r>
    </w:p>
    <w:p w:rsidR="000C1955" w:rsidRDefault="008B2F68">
      <w:pPr>
        <w:numPr>
          <w:ilvl w:val="0"/>
          <w:numId w:val="3"/>
        </w:numPr>
        <w:spacing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Gestão operacional:</w:t>
      </w:r>
      <w:r>
        <w:rPr>
          <w:rFonts w:ascii="Arial" w:eastAsia="Arial" w:hAnsi="Arial" w:cs="Arial"/>
          <w:sz w:val="22"/>
          <w:szCs w:val="22"/>
        </w:rPr>
        <w:t xml:space="preserve"> haveria necessidade de pessoal técnico para operação e manutenção dos painéis, além de equipes especializadas para higienização, transporte e gestão dos banheiros químicos, ampliando a demanda administrativa e operacional do município.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Solução 02 – Locação </w:t>
      </w:r>
      <w:r>
        <w:rPr>
          <w:rFonts w:ascii="Arial" w:eastAsia="Arial" w:hAnsi="Arial" w:cs="Arial"/>
          <w:b/>
          <w:sz w:val="22"/>
          <w:szCs w:val="22"/>
        </w:rPr>
        <w:t>de Painéis de LED e Banheiros Químicos: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 alternativa de locação foi considerada </w:t>
      </w:r>
      <w:r>
        <w:rPr>
          <w:rFonts w:ascii="Arial" w:eastAsia="Arial" w:hAnsi="Arial" w:cs="Arial"/>
          <w:b/>
          <w:sz w:val="22"/>
          <w:szCs w:val="22"/>
        </w:rPr>
        <w:t>viável</w:t>
      </w:r>
      <w:r>
        <w:rPr>
          <w:rFonts w:ascii="Arial" w:eastAsia="Arial" w:hAnsi="Arial" w:cs="Arial"/>
          <w:sz w:val="22"/>
          <w:szCs w:val="22"/>
        </w:rPr>
        <w:t>, atendendo de forma adequada às necessidades do município, pelos seguintes motivos:</w:t>
      </w:r>
    </w:p>
    <w:p w:rsidR="000C1955" w:rsidRDefault="008B2F68">
      <w:pPr>
        <w:numPr>
          <w:ilvl w:val="0"/>
          <w:numId w:val="1"/>
        </w:numPr>
        <w:spacing w:before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Custo compatível com o uso pontual:</w:t>
      </w:r>
      <w:r>
        <w:rPr>
          <w:rFonts w:ascii="Arial" w:eastAsia="Arial" w:hAnsi="Arial" w:cs="Arial"/>
          <w:sz w:val="22"/>
          <w:szCs w:val="22"/>
        </w:rPr>
        <w:t xml:space="preserve"> a locação possibilita o atendimento da demanda apenas nos períodos de realização dos eventos, evitando investimentos elevados em equipamentos de uso esporádico e garantindo melhor relação custo-benefício;</w:t>
      </w:r>
    </w:p>
    <w:p w:rsidR="000C1955" w:rsidRDefault="008B2F68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Flexibilidade contratual:</w:t>
      </w:r>
      <w:r>
        <w:rPr>
          <w:rFonts w:ascii="Arial" w:eastAsia="Arial" w:hAnsi="Arial" w:cs="Arial"/>
          <w:sz w:val="22"/>
          <w:szCs w:val="22"/>
        </w:rPr>
        <w:t xml:space="preserve"> permite ajustar a quantidade e o período de uso conforme o porte e a programação de cada evento, otimizando recursos públicos;</w:t>
      </w:r>
    </w:p>
    <w:p w:rsidR="000C1955" w:rsidRDefault="008B2F68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Eliminação de custos de manutenção e armazenamento:</w:t>
      </w:r>
      <w:r>
        <w:rPr>
          <w:rFonts w:ascii="Arial" w:eastAsia="Arial" w:hAnsi="Arial" w:cs="Arial"/>
          <w:sz w:val="22"/>
          <w:szCs w:val="22"/>
        </w:rPr>
        <w:t xml:space="preserve"> ao optar pela locação, o município não precisa arcar com despesas relacionadas à manutenção preventiva e corretiva, limpeza, higienização, transporte e armazenamento dos equipamentos quando não estão em uso;</w:t>
      </w:r>
    </w:p>
    <w:p w:rsidR="000C1955" w:rsidRDefault="008B2F68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Atualização tecnológica:</w:t>
      </w:r>
      <w:r>
        <w:rPr>
          <w:rFonts w:ascii="Arial" w:eastAsia="Arial" w:hAnsi="Arial" w:cs="Arial"/>
          <w:sz w:val="22"/>
          <w:szCs w:val="22"/>
        </w:rPr>
        <w:t xml:space="preserve"> no caso dos painéis de LED, a locação garante acesso a equipamentos modernos e em bom estado de conservação, sem a necessidade de investimentos adicionais para atualização;</w:t>
      </w:r>
    </w:p>
    <w:p w:rsidR="000C1955" w:rsidRDefault="008B2F68">
      <w:pPr>
        <w:numPr>
          <w:ilvl w:val="0"/>
          <w:numId w:val="1"/>
        </w:numP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Eficiência operacional:</w:t>
      </w:r>
      <w:r>
        <w:rPr>
          <w:rFonts w:ascii="Arial" w:eastAsia="Arial" w:hAnsi="Arial" w:cs="Arial"/>
          <w:sz w:val="22"/>
          <w:szCs w:val="22"/>
        </w:rPr>
        <w:t xml:space="preserve"> empresas locadoras especializadas fornecem equipe técnica para montagem, operação e desmontagem dos painéis, bem como manutenção e limpeza dos banheiros químicos, reduzindo a carga operacional sobre a administração municipal;</w:t>
      </w:r>
    </w:p>
    <w:p w:rsidR="000C1955" w:rsidRDefault="008B2F68">
      <w:pPr>
        <w:numPr>
          <w:ilvl w:val="0"/>
          <w:numId w:val="1"/>
        </w:numPr>
        <w:spacing w:after="240"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Rapidez na mobilização:</w:t>
      </w:r>
      <w:r>
        <w:rPr>
          <w:rFonts w:ascii="Arial" w:eastAsia="Arial" w:hAnsi="Arial" w:cs="Arial"/>
          <w:sz w:val="22"/>
          <w:szCs w:val="22"/>
        </w:rPr>
        <w:t xml:space="preserve"> a locação facilita a disponibilização dos equipamentos em prazos curtos, atendendo à dinâmica de eventos sazonais e garantindo agilidade na execução.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Após a análise das alternativas de aquisição e locação de painéis de LED e banheiros químicos, verifica-se que a locação apresenta-se como a solução mais viável e eficiente para o Município. A compra implicaria altos custos iniciais, riscos de subutilização, necessidade de </w:t>
      </w:r>
      <w:r>
        <w:rPr>
          <w:rFonts w:ascii="Arial" w:eastAsia="Arial" w:hAnsi="Arial" w:cs="Arial"/>
          <w:sz w:val="22"/>
          <w:szCs w:val="22"/>
        </w:rPr>
        <w:lastRenderedPageBreak/>
        <w:t>armazenamento, manutenção e equipe especializada, além de limitar a flexibilidade e atualização tecnológica.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 caso específico dos banheiros químicos, a aquisição também demandaria espaço para armazenamento adequado, limpeza e manutenção periódica, além de logística especializada para transporte, instalação e remoção a cada evento, o que geraria custos operacionais elevados e ociosidade fora dos períodos festivos. Já a locação oferece redução de investimentos iniciais, flexibilidade para atender eventos de diferentes portes, manutenção e operação incluídas, menor risco de deterioração e possibilidade de utilizar equipamentos sempre atualizados e em conformidade com as normas sanitárias.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Dessa forma, a locação garante eficiência econômica, operacional e técnica, atendendo de maneira mais segura e prática às demandas do calendário oficial de eventos do Município.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7.4. Análise comparativa de custos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360"/>
        <w:jc w:val="both"/>
        <w:rPr>
          <w:rFonts w:ascii="Arial" w:eastAsia="Arial" w:hAnsi="Arial" w:cs="Arial"/>
          <w:b/>
          <w:sz w:val="22"/>
          <w:szCs w:val="22"/>
        </w:rPr>
      </w:pPr>
    </w:p>
    <w:tbl>
      <w:tblPr>
        <w:tblStyle w:val="a8"/>
        <w:tblW w:w="879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795"/>
      </w:tblGrid>
      <w:tr w:rsidR="000C1955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  <w:highlight w:val="white"/>
              </w:rPr>
              <w:t>Solução Viável 1</w:t>
            </w:r>
          </w:p>
        </w:tc>
      </w:tr>
      <w:tr w:rsidR="000C1955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Descrição: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Compra de painéis de LED e banheiros químicos.</w:t>
            </w:r>
          </w:p>
        </w:tc>
      </w:tr>
      <w:tr w:rsidR="000C1955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Custo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Total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–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R$ </w:t>
            </w:r>
            <w:r w:rsidR="007E1814">
              <w:rPr>
                <w:rFonts w:ascii="Arial" w:eastAsia="Arial" w:hAnsi="Arial" w:cs="Arial"/>
                <w:b/>
                <w:sz w:val="20"/>
                <w:szCs w:val="20"/>
              </w:rPr>
              <w:t>2</w:t>
            </w:r>
            <w:r w:rsidR="007E36A4">
              <w:rPr>
                <w:rFonts w:ascii="Arial" w:eastAsia="Arial" w:hAnsi="Arial" w:cs="Arial"/>
                <w:b/>
                <w:sz w:val="20"/>
                <w:szCs w:val="20"/>
              </w:rPr>
              <w:t>00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.000,00</w:t>
            </w:r>
          </w:p>
          <w:p w:rsidR="000C1955" w:rsidRDefault="000C19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  <w:tr w:rsidR="000C1955">
        <w:tc>
          <w:tcPr>
            <w:tcW w:w="8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Solução Viável 2</w:t>
            </w:r>
          </w:p>
        </w:tc>
      </w:tr>
      <w:tr w:rsidR="000C1955">
        <w:tc>
          <w:tcPr>
            <w:tcW w:w="8795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Descrição: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Locação de painéis de LED e banheiros químicos.</w:t>
            </w:r>
          </w:p>
        </w:tc>
      </w:tr>
      <w:tr w:rsidR="000C1955">
        <w:tc>
          <w:tcPr>
            <w:tcW w:w="8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Custo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Total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–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R$ 38.700,00</w:t>
            </w:r>
          </w:p>
        </w:tc>
      </w:tr>
    </w:tbl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0000FF"/>
          <w:sz w:val="22"/>
          <w:szCs w:val="22"/>
        </w:rPr>
      </w:pP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0000FF"/>
          <w:sz w:val="22"/>
          <w:szCs w:val="22"/>
        </w:rPr>
      </w:pP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0000FF"/>
          <w:sz w:val="22"/>
          <w:szCs w:val="22"/>
        </w:rPr>
      </w:pPr>
    </w:p>
    <w:p w:rsidR="000C1955" w:rsidRDefault="008B2F6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82"/>
          <w:tab w:val="left" w:pos="867"/>
          <w:tab w:val="left" w:pos="1167"/>
          <w:tab w:val="left" w:pos="1422"/>
          <w:tab w:val="left" w:pos="1677"/>
          <w:tab w:val="left" w:pos="1992"/>
          <w:tab w:val="left" w:pos="2247"/>
          <w:tab w:val="left" w:pos="7363"/>
        </w:tabs>
        <w:spacing w:before="57" w:after="57"/>
        <w:ind w:left="27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7.5 – MAPA COMPARATIVO DOS CUSTOS TOTAIS </w:t>
      </w:r>
    </w:p>
    <w:p w:rsidR="000C1955" w:rsidRDefault="000C195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555"/>
          <w:tab w:val="left" w:pos="840"/>
          <w:tab w:val="left" w:pos="1140"/>
          <w:tab w:val="left" w:pos="1395"/>
          <w:tab w:val="left" w:pos="1650"/>
          <w:tab w:val="left" w:pos="1965"/>
          <w:tab w:val="left" w:pos="2220"/>
          <w:tab w:val="left" w:pos="7336"/>
        </w:tabs>
        <w:spacing w:before="57" w:after="57"/>
        <w:jc w:val="both"/>
        <w:rPr>
          <w:rFonts w:ascii="Arial" w:eastAsia="Arial" w:hAnsi="Arial" w:cs="Arial"/>
          <w:color w:val="FF0000"/>
          <w:sz w:val="22"/>
          <w:szCs w:val="22"/>
          <w:highlight w:val="white"/>
        </w:rPr>
      </w:pPr>
    </w:p>
    <w:tbl>
      <w:tblPr>
        <w:tblStyle w:val="a9"/>
        <w:tblW w:w="9015" w:type="dxa"/>
        <w:tblInd w:w="-289" w:type="dxa"/>
        <w:tblLayout w:type="fixed"/>
        <w:tblLook w:val="0400" w:firstRow="0" w:lastRow="0" w:firstColumn="0" w:lastColumn="0" w:noHBand="0" w:noVBand="1"/>
      </w:tblPr>
      <w:tblGrid>
        <w:gridCol w:w="1980"/>
        <w:gridCol w:w="1905"/>
        <w:gridCol w:w="1755"/>
        <w:gridCol w:w="1740"/>
        <w:gridCol w:w="1635"/>
      </w:tblGrid>
      <w:tr w:rsidR="000C1955">
        <w:tc>
          <w:tcPr>
            <w:tcW w:w="1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Descrição da solução</w:t>
            </w:r>
          </w:p>
        </w:tc>
        <w:tc>
          <w:tcPr>
            <w:tcW w:w="5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Estimativa ao longo dos anos</w:t>
            </w: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Total</w:t>
            </w:r>
          </w:p>
        </w:tc>
      </w:tr>
      <w:tr w:rsidR="000C1955">
        <w:tc>
          <w:tcPr>
            <w:tcW w:w="1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190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Ano 1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Ano 2</w:t>
            </w:r>
          </w:p>
        </w:tc>
        <w:tc>
          <w:tcPr>
            <w:tcW w:w="174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Ano 3</w:t>
            </w:r>
          </w:p>
        </w:tc>
        <w:tc>
          <w:tcPr>
            <w:tcW w:w="16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0C19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C1955">
        <w:tc>
          <w:tcPr>
            <w:tcW w:w="198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Viável 1</w:t>
            </w:r>
          </w:p>
        </w:tc>
        <w:tc>
          <w:tcPr>
            <w:tcW w:w="190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8B2F68" w:rsidP="00FD088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R$ </w:t>
            </w:r>
            <w:r w:rsidR="00FD0888"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200.000,00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FD088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R$ 50.000,00</w:t>
            </w:r>
          </w:p>
        </w:tc>
        <w:tc>
          <w:tcPr>
            <w:tcW w:w="174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8B2F68" w:rsidP="00FD088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 xml:space="preserve">R$ </w:t>
            </w:r>
            <w:r w:rsidR="00FD0888"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50.000,00</w:t>
            </w:r>
          </w:p>
        </w:tc>
        <w:tc>
          <w:tcPr>
            <w:tcW w:w="16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 w:rsidP="00FD088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 xml:space="preserve">R$ </w:t>
            </w:r>
            <w:r w:rsidR="00FD0888"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300</w:t>
            </w: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.000,00</w:t>
            </w:r>
          </w:p>
        </w:tc>
      </w:tr>
      <w:tr w:rsidR="000C1955">
        <w:tc>
          <w:tcPr>
            <w:tcW w:w="198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Solução Viável 2</w:t>
            </w:r>
          </w:p>
        </w:tc>
        <w:tc>
          <w:tcPr>
            <w:tcW w:w="190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8B2F6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R$ 38.700,00</w:t>
            </w:r>
          </w:p>
        </w:tc>
        <w:tc>
          <w:tcPr>
            <w:tcW w:w="17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8B2F6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R$ 38.700,00</w:t>
            </w:r>
          </w:p>
        </w:tc>
        <w:tc>
          <w:tcPr>
            <w:tcW w:w="174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Pr="00FD0888" w:rsidRDefault="008B2F6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sz w:val="22"/>
                <w:szCs w:val="22"/>
                <w:highlight w:val="white"/>
              </w:rPr>
            </w:pPr>
            <w:r w:rsidRPr="00FD0888">
              <w:rPr>
                <w:rFonts w:ascii="Arial" w:eastAsia="Arial" w:hAnsi="Arial" w:cs="Arial"/>
                <w:sz w:val="22"/>
                <w:szCs w:val="22"/>
                <w:highlight w:val="white"/>
              </w:rPr>
              <w:t>R$ 38.700,00</w:t>
            </w:r>
          </w:p>
        </w:tc>
        <w:tc>
          <w:tcPr>
            <w:tcW w:w="16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0C1955" w:rsidRDefault="008B2F68">
            <w:pPr>
              <w:tabs>
                <w:tab w:val="center" w:pos="4252"/>
                <w:tab w:val="right" w:pos="8504"/>
              </w:tabs>
              <w:jc w:val="both"/>
              <w:rPr>
                <w:rFonts w:ascii="Arial" w:eastAsia="Arial" w:hAnsi="Arial" w:cs="Arial"/>
                <w:b/>
                <w:color w:val="000000"/>
                <w:sz w:val="22"/>
                <w:szCs w:val="22"/>
                <w:highlight w:val="white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  <w:highlight w:val="white"/>
              </w:rPr>
              <w:t>R$ 116.100,00</w:t>
            </w:r>
          </w:p>
        </w:tc>
      </w:tr>
    </w:tbl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FF0000"/>
          <w:sz w:val="22"/>
          <w:szCs w:val="22"/>
        </w:rPr>
      </w:pPr>
    </w:p>
    <w:p w:rsidR="00FD0888" w:rsidRDefault="00FD088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DESCRIÇÃO DA SOLUÇÃO COMO UM TODO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FF0000"/>
          <w:sz w:val="22"/>
          <w:szCs w:val="22"/>
        </w:rPr>
      </w:pP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A solução adotada consiste na locação de painéis de LED e banheiros químicos, incluindo todos os serviços necessários para sua perfeita utilização: transporte, montagem, operação, manutenção, higienização e desmontagem. Esta alternativa foi escolhida como a mais eficiente e econômica, considerando que os eventos previstos são pontuais, ocorrendo apenas em datas específicas do calendário municipal.</w:t>
      </w: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utilização dos painéis de LED permite melhorar significativamente a comunicação visual e a apresentação de conteúdos audiovisuais, garantindo maior impacto, visibilidade e qualidade aos eventos promovidos pela Secretaria Municipal de Turismo e pela Secretaria Municipal de Cultura.</w:t>
      </w: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locação dos banheiros químicos assegura condições adequadas de higiene e conforto ao público participante, atendendo às normas sanitárias e de segurança exigidas para eventos de grande circulação. Além disso, elimina a necessidade de manutenção própria, armazenamento e gestão operacional desses equipamentos pelo município.</w:t>
      </w: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locação oferece flexibilidade, permitindo que a quantidade de equipamentos seja dimensionada conforme o porte de cada evento e assegurando que a tecnologia e a infraestrutura utilizadas estejam sempre em perfeitas condições de funcionamento. A prestação do serviço inclui equipe técnica especializada, garantindo a operação segura e eficiente dos painéis de LED e a correta manutenção e limpeza dos banheiros químicos durante todas as atividades, sem sobrecarregar a estrutura administrativa do município.</w:t>
      </w: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Não será previamente definido o tamanho dos painéis de LED nem a quantidade de banheiros químicos para cada evento, uma vez que essa definição dependerá de fatores como a grandiosidade da programação, o porte do público esperado, as condições climáticas, a dimensão do espaço físico utilizado e a realização de eventos simultâneos na região. Essa flexibilidade permite adequar os serviços contratados à realidade de cada ocasião, otimizando recursos públicos e garantindo o atendimento adequado às necessidades operacionais.</w:t>
      </w: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Dessa forma, a solução adotada atende de maneira econômica, operacional e técnica às demandas do calendário oficial de eventos do Município, assegurando que os objetivos de visibilidade, qualidade, conforto e impacto para o público sejam plenamente alcançados.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ESTIMATIVA DAS QUANTIDADES A SEREM CONTRATADAS </w:t>
      </w:r>
    </w:p>
    <w:p w:rsidR="000C1955" w:rsidRPr="00230195" w:rsidRDefault="000C1955">
      <w:pPr>
        <w:pBdr>
          <w:top w:val="nil"/>
          <w:left w:val="nil"/>
          <w:bottom w:val="nil"/>
          <w:right w:val="nil"/>
          <w:between w:val="nil"/>
        </w:pBdr>
        <w:ind w:left="644"/>
        <w:jc w:val="both"/>
        <w:rPr>
          <w:rFonts w:ascii="Arial" w:eastAsia="Arial" w:hAnsi="Arial" w:cs="Arial"/>
          <w:b/>
          <w:color w:val="FF0000"/>
          <w:sz w:val="22"/>
          <w:szCs w:val="22"/>
        </w:rPr>
      </w:pPr>
    </w:p>
    <w:tbl>
      <w:tblPr>
        <w:tblStyle w:val="aa"/>
        <w:tblW w:w="8820" w:type="dxa"/>
        <w:tblInd w:w="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25"/>
        <w:gridCol w:w="5055"/>
        <w:gridCol w:w="1425"/>
        <w:gridCol w:w="1515"/>
      </w:tblGrid>
      <w:tr w:rsidR="000C1955">
        <w:tc>
          <w:tcPr>
            <w:tcW w:w="82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ITEM</w:t>
            </w:r>
          </w:p>
          <w:p w:rsidR="000C1955" w:rsidRDefault="000C1955">
            <w:pPr>
              <w:spacing w:after="24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505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DESCRIÇÃO/ ESPECIFICAÇÃO</w:t>
            </w:r>
          </w:p>
        </w:tc>
        <w:tc>
          <w:tcPr>
            <w:tcW w:w="142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UN. MEDIDA</w:t>
            </w:r>
          </w:p>
        </w:tc>
        <w:tc>
          <w:tcPr>
            <w:tcW w:w="151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QUANT</w:t>
            </w:r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</w:tc>
      </w:tr>
      <w:tr w:rsidR="000C1955">
        <w:tc>
          <w:tcPr>
            <w:tcW w:w="82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5055" w:type="dxa"/>
          </w:tcPr>
          <w:p w:rsidR="000C1955" w:rsidRDefault="008B2F68">
            <w:pPr>
              <w:spacing w:before="240" w:after="240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Item 01: PAINEL DE LED – OUTDOOR OU INDOOR</w:t>
            </w:r>
          </w:p>
          <w:p w:rsidR="000C1955" w:rsidRDefault="008B2F68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Locação de painel de LED de alta definição, modelo não inferior a P4 Full HD, com aparelho de processamento de imagem de resolução mínima de 1920x1080 pixels e entrada HDMI compatível com os equipamentos utilizados no evento. A contratada será responsável pelo fornecimento completo de todos os itens necessários para a operação do painel, incluindo a estrutura de suporte (box truss), cabos, montagem, operação durante o evento e desmontagem, garantindo pleno funcionamento e segurança do equipamento. O painel deve apresentar qualidade de imagem adequada para visualização a partir de qualquer ângulo, alta definição de cores, brilho uniforme e funcionamento contínuo em ambientes internos (indoor) ou externos (outdoor), conforme as condições do local de instalação. </w:t>
            </w:r>
          </w:p>
          <w:p w:rsidR="000C1955" w:rsidRPr="006E05F7" w:rsidRDefault="008B2F68" w:rsidP="006E05F7">
            <w:pPr>
              <w:spacing w:before="240" w:after="24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6E05F7">
              <w:rPr>
                <w:rFonts w:ascii="Arial" w:eastAsia="Arial" w:hAnsi="Arial" w:cs="Arial"/>
                <w:b/>
                <w:sz w:val="20"/>
                <w:szCs w:val="20"/>
              </w:rPr>
              <w:t>Observação:</w:t>
            </w:r>
            <w:r w:rsidRPr="006E05F7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6E05F7" w:rsidRPr="006E05F7">
              <w:rPr>
                <w:rFonts w:ascii="Arial" w:hAnsi="Arial" w:cs="Arial"/>
                <w:sz w:val="20"/>
                <w:szCs w:val="20"/>
              </w:rPr>
              <w:t xml:space="preserve">O serviço poderá ser solicitado pela Secretaria requisitante para atendimento a eventos, sendo disponibilizado pelo período de até 24 (vinte e quatro) horas, devendo o painel possuir dimensões mínimas de </w:t>
            </w:r>
            <w:r w:rsidR="006E05F7" w:rsidRPr="006E05F7">
              <w:rPr>
                <w:rStyle w:val="Forte"/>
                <w:rFonts w:ascii="Arial" w:hAnsi="Arial" w:cs="Arial"/>
                <w:b w:val="0"/>
                <w:sz w:val="20"/>
                <w:szCs w:val="20"/>
              </w:rPr>
              <w:t>3,00 x 3,00 metros</w:t>
            </w:r>
            <w:r w:rsidR="006E05F7" w:rsidRPr="006E05F7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1425" w:type="dxa"/>
          </w:tcPr>
          <w:p w:rsidR="000C1955" w:rsidRDefault="008B2F68">
            <w:pPr>
              <w:pStyle w:val="Ttulo2"/>
              <w:keepLines w:val="0"/>
              <w:spacing w:before="0" w:after="240"/>
              <w:jc w:val="center"/>
              <w:outlineLvl w:val="1"/>
              <w:rPr>
                <w:b w:val="0"/>
                <w:sz w:val="24"/>
                <w:szCs w:val="24"/>
              </w:rPr>
            </w:pPr>
            <w:bookmarkStart w:id="1" w:name="_heading=h.2nxpjg5w0go6" w:colFirst="0" w:colLast="0"/>
            <w:bookmarkEnd w:id="1"/>
            <w:r>
              <w:rPr>
                <w:b w:val="0"/>
                <w:sz w:val="24"/>
                <w:szCs w:val="24"/>
              </w:rPr>
              <w:t>M2</w:t>
            </w:r>
          </w:p>
        </w:tc>
        <w:tc>
          <w:tcPr>
            <w:tcW w:w="151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sz w:val="24"/>
                <w:szCs w:val="24"/>
                <w:highlight w:val="white"/>
              </w:rPr>
              <w:t>300</w:t>
            </w:r>
          </w:p>
        </w:tc>
      </w:tr>
      <w:tr w:rsidR="000C1955">
        <w:tc>
          <w:tcPr>
            <w:tcW w:w="82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02</w:t>
            </w:r>
          </w:p>
        </w:tc>
        <w:tc>
          <w:tcPr>
            <w:tcW w:w="5055" w:type="dxa"/>
          </w:tcPr>
          <w:p w:rsidR="000C1955" w:rsidRDefault="008B2F68">
            <w:pPr>
              <w:spacing w:before="240" w:after="240"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ITEM 02: LOCAÇÃO DE SANITÁRIOS QUÍMICOS MASCULINO E FEMININO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Locação de sanitários químicos masculino e feminino, fabricados em polietileno de alta densidade, com design ergonômico que facilite a mobilização. Os sanitários deverão possuir comprimento não inferior a 1,15 m, largura não inferior a 1,20 m e altura não inferior a 2,20 m, sistema de ventilação (respiro) que assegure boa circulação de ar, piso antiderrapante, fechadura em perfeito funcionamento com indicador externo de livre/ocupado, adesivo autocolante aplicado na parte externa da porta indicando se o sanitário é de uso masculino ou feminino, caixa de dejetos com assento, suporte para papel higiênico e porta-objetos, além de teto translúcido ou ponto de luz que garanta iluminação interna adequada. Não será aceito sanitário com piso ou suporte de madeira. A locação inclui a entrega dos equipamentos limpos e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com fornecimento de papel higiênico.</w:t>
            </w:r>
          </w:p>
          <w:p w:rsidR="000C1955" w:rsidRDefault="008B2F68">
            <w:pPr>
              <w:spacing w:before="240" w:after="240"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Obs.: O horário e o local de entrega serão estabelecidos pela secretaria requisitante no momento da emissão da ordem de serviço.</w:t>
            </w:r>
          </w:p>
        </w:tc>
        <w:tc>
          <w:tcPr>
            <w:tcW w:w="1425" w:type="dxa"/>
          </w:tcPr>
          <w:p w:rsidR="000C1955" w:rsidRDefault="008B2F68">
            <w:pPr>
              <w:pStyle w:val="Ttulo2"/>
              <w:keepLines w:val="0"/>
              <w:spacing w:before="0" w:after="240"/>
              <w:jc w:val="center"/>
              <w:outlineLvl w:val="1"/>
              <w:rPr>
                <w:b w:val="0"/>
                <w:sz w:val="24"/>
                <w:szCs w:val="24"/>
                <w:highlight w:val="white"/>
              </w:rPr>
            </w:pPr>
            <w:bookmarkStart w:id="2" w:name="_heading=h.nalwtmr3fsjc" w:colFirst="0" w:colLast="0"/>
            <w:bookmarkEnd w:id="2"/>
            <w:r>
              <w:rPr>
                <w:b w:val="0"/>
                <w:sz w:val="24"/>
                <w:szCs w:val="24"/>
                <w:highlight w:val="white"/>
              </w:rPr>
              <w:lastRenderedPageBreak/>
              <w:t xml:space="preserve">DIÁRIA </w:t>
            </w:r>
          </w:p>
        </w:tc>
        <w:tc>
          <w:tcPr>
            <w:tcW w:w="151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sz w:val="24"/>
                <w:szCs w:val="24"/>
                <w:highlight w:val="white"/>
              </w:rPr>
              <w:t>40</w:t>
            </w:r>
          </w:p>
        </w:tc>
      </w:tr>
      <w:tr w:rsidR="000C1955">
        <w:tc>
          <w:tcPr>
            <w:tcW w:w="82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03</w:t>
            </w:r>
          </w:p>
        </w:tc>
        <w:tc>
          <w:tcPr>
            <w:tcW w:w="5055" w:type="dxa"/>
          </w:tcPr>
          <w:p w:rsidR="000C1955" w:rsidRDefault="008B2F68">
            <w:pPr>
              <w:spacing w:before="240" w:after="240"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ITEM 03: LOCAÇÃO DE BANHEIROS QUÍMICOS MASCULINO E FEMININO – PCD</w:t>
            </w:r>
          </w:p>
          <w:p w:rsidR="000C1955" w:rsidRDefault="008B2F68">
            <w:pPr>
              <w:spacing w:before="240" w:after="240"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Locação de banheiros químicos masculino e feminino destinados a pessoas com deficiência física usuárias de cadeiras de rodas. Os banheiros deverão ser individuais, portáteis, fabricados em polietileno, com teto translúcido e dimensões que permitam a movimentação adequada da cadeira de rodas em seu interior. Devem estar equipados com todos os dispositivos e acessórios de segurança exigidos pelas normas técnicas vigentes, incluindo barras de apoio, piso antiderrapante e fechadura com indicador externo de livre/ocupado. Na parte externa da porta deverá constar adesivo indicando o uso exclusivo para pessoas com deficiência, diferenciando-se por sexo (masculino e feminino). Não será aceito sanitário com piso ou suporte de madeira. A locação inclui montagem, manutenção diária, desmontagem, entrega dos equipamentos devidamente higienizados e abastecidos com papel higiênico. </w:t>
            </w:r>
          </w:p>
          <w:p w:rsidR="000C1955" w:rsidRDefault="008B2F68">
            <w:pPr>
              <w:spacing w:before="240" w:after="240" w:line="276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Obs: O horário e o local de entrega serão definidos pela secretaria requisitante no momento da emissão da ordem de serviço.</w:t>
            </w:r>
          </w:p>
        </w:tc>
        <w:tc>
          <w:tcPr>
            <w:tcW w:w="1425" w:type="dxa"/>
          </w:tcPr>
          <w:p w:rsidR="000C1955" w:rsidRDefault="008B2F68">
            <w:pPr>
              <w:pStyle w:val="Ttulo2"/>
              <w:keepLines w:val="0"/>
              <w:spacing w:before="0" w:after="240"/>
              <w:jc w:val="center"/>
              <w:outlineLvl w:val="1"/>
              <w:rPr>
                <w:b w:val="0"/>
                <w:sz w:val="24"/>
                <w:szCs w:val="24"/>
                <w:highlight w:val="white"/>
              </w:rPr>
            </w:pPr>
            <w:bookmarkStart w:id="3" w:name="_heading=h.eqncqwcxwaab" w:colFirst="0" w:colLast="0"/>
            <w:bookmarkEnd w:id="3"/>
            <w:r>
              <w:rPr>
                <w:b w:val="0"/>
                <w:sz w:val="24"/>
                <w:szCs w:val="24"/>
                <w:highlight w:val="white"/>
              </w:rPr>
              <w:t xml:space="preserve">DIÁRIA </w:t>
            </w:r>
          </w:p>
        </w:tc>
        <w:tc>
          <w:tcPr>
            <w:tcW w:w="1515" w:type="dxa"/>
          </w:tcPr>
          <w:p w:rsidR="000C1955" w:rsidRDefault="008B2F68">
            <w:pPr>
              <w:spacing w:after="240"/>
              <w:jc w:val="center"/>
              <w:rPr>
                <w:rFonts w:ascii="Arial" w:eastAsia="Arial" w:hAnsi="Arial" w:cs="Arial"/>
                <w:sz w:val="24"/>
                <w:szCs w:val="24"/>
                <w:highlight w:val="white"/>
              </w:rPr>
            </w:pPr>
            <w:r>
              <w:rPr>
                <w:rFonts w:ascii="Arial" w:eastAsia="Arial" w:hAnsi="Arial" w:cs="Arial"/>
                <w:sz w:val="24"/>
                <w:szCs w:val="24"/>
                <w:highlight w:val="white"/>
              </w:rPr>
              <w:t>40</w:t>
            </w:r>
          </w:p>
        </w:tc>
      </w:tr>
    </w:tbl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22"/>
          <w:szCs w:val="22"/>
        </w:rPr>
      </w:pPr>
    </w:p>
    <w:p w:rsidR="000C1955" w:rsidRDefault="008B2F68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Não será previamente definido o tamanho dos painéis de LED nem a quantidade de banheiros químicos </w:t>
      </w:r>
      <w:r w:rsidRPr="0065525F">
        <w:rPr>
          <w:rFonts w:ascii="Arial" w:eastAsia="Arial" w:hAnsi="Arial" w:cs="Arial"/>
          <w:sz w:val="22"/>
          <w:szCs w:val="22"/>
        </w:rPr>
        <w:t>por evento</w:t>
      </w:r>
      <w:r>
        <w:rPr>
          <w:rFonts w:ascii="Arial" w:eastAsia="Arial" w:hAnsi="Arial" w:cs="Arial"/>
          <w:sz w:val="22"/>
          <w:szCs w:val="22"/>
        </w:rPr>
        <w:t>, uma vez que essa definição dependerá de fatores como a grandiosidade da programação, o porte do público esperado, as condições climáticas, a dimensão do espaço físico utilizado e a realização de eventos simultâneos na região.</w:t>
      </w:r>
    </w:p>
    <w:p w:rsidR="000C1955" w:rsidRDefault="008B2F68" w:rsidP="00282CD3">
      <w:pPr>
        <w:widowControl w:val="0"/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Essa estratégia garante flexibilidade na execução contratual, permitindo dimensionar os serviços conforme as necessidades específicas de cada evento, otimizando recursos públicos e assegurando a adequada infraestrutura operacional para o público participante.</w:t>
      </w: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567" w:hanging="644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ESTIMATIVA DO VALOR DA CONTRATAÇÃO 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284" w:firstLine="68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lastRenderedPageBreak/>
        <w:t>A estimativa do valor,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se faz com base na contratação anterior.</w:t>
      </w:r>
    </w:p>
    <w:tbl>
      <w:tblPr>
        <w:tblStyle w:val="ab"/>
        <w:tblpPr w:leftFromText="141" w:rightFromText="141" w:vertAnchor="text" w:tblpX="-89" w:tblpY="186"/>
        <w:tblW w:w="91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195"/>
      </w:tblGrid>
      <w:tr w:rsidR="000C1955">
        <w:trPr>
          <w:trHeight w:val="529"/>
        </w:trPr>
        <w:tc>
          <w:tcPr>
            <w:tcW w:w="9195" w:type="dxa"/>
          </w:tcPr>
          <w:p w:rsidR="000C1955" w:rsidRDefault="008B2F68">
            <w:pPr>
              <w:spacing w:line="360" w:lineRule="auto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Item 01: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Locação de painel de LED – 300 m² – valor estimado: R$ 78.000,00</w:t>
            </w:r>
          </w:p>
        </w:tc>
      </w:tr>
      <w:tr w:rsidR="000C1955">
        <w:trPr>
          <w:trHeight w:val="192"/>
        </w:trPr>
        <w:tc>
          <w:tcPr>
            <w:tcW w:w="9195" w:type="dxa"/>
          </w:tcPr>
          <w:p w:rsidR="000C1955" w:rsidRDefault="008B2F68">
            <w:pPr>
              <w:spacing w:line="360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Item 02: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Locação de banheiros químicos – 40 diárias – valor estimado: R$ 40.000,00</w:t>
            </w:r>
          </w:p>
        </w:tc>
      </w:tr>
      <w:tr w:rsidR="000C1955">
        <w:trPr>
          <w:trHeight w:val="139"/>
        </w:trPr>
        <w:tc>
          <w:tcPr>
            <w:tcW w:w="9195" w:type="dxa"/>
          </w:tcPr>
          <w:p w:rsidR="000C1955" w:rsidRDefault="008B2F68">
            <w:pPr>
              <w:spacing w:line="360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Item 03: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Locação de banheiros químicos PCD – 40 diárias – valor estimado: R$ 48.000,00</w:t>
            </w:r>
          </w:p>
        </w:tc>
      </w:tr>
    </w:tbl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Valor estimado: 166.000,00</w:t>
      </w: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left="645" w:hanging="645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JUSTIFICATIVA PARA O PARCELAMENTO OU NÃO DA SOLUÇÃO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será realizada pelo menor preço para cada item do serviço, sendo empresas distintas responsáveis pelos painéis de LED e pelos banheiros químicos, inclusive adaptados para pessoas com deficiência (PCD), abrangendo transporte, montagem, instalação, operação, manutenção e desmontagem/retirada nos eventos previstos</w:t>
      </w:r>
      <w:r w:rsidR="0065525F">
        <w:rPr>
          <w:rFonts w:ascii="Arial" w:eastAsia="Arial" w:hAnsi="Arial" w:cs="Arial"/>
          <w:sz w:val="22"/>
          <w:szCs w:val="22"/>
        </w:rPr>
        <w:t xml:space="preserve">. </w:t>
      </w:r>
      <w:r>
        <w:rPr>
          <w:rFonts w:ascii="Arial" w:eastAsia="Arial" w:hAnsi="Arial" w:cs="Arial"/>
          <w:sz w:val="22"/>
          <w:szCs w:val="22"/>
        </w:rPr>
        <w:t>Essa abordagem garante maior agilidade, controle e responsabilidade operacional, assegurando que os eventos ocorram de maneira eficiente, segura e com qualidade.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/>
        <w:ind w:hanging="644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CONTRATAÇÕES CORRELATAS E/OU INTERDEPENDENTES 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 contratações correlatas e interdependentes estão diretamente ligadas às demandas específicas de cada Secretaria e ao tipo de evento a ser realizado. Além da locação de painéis de LED, pode ser necessário contratar serviços complementares, como iluminação cênica para eventos noturnos ou apresentações artísticas, estruturas temporárias como palcos, tendas e equipamentos de suporte, serviços audiovisuais incluindo projeção, telões ou gravação de eventos, segurança e limpeza para garantir a organização e proteção do público, e geradores de energia em locais sem infraestrutura elétrica adequada.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As contratações correlatas e/ou interdependentes relacionadas à locação de banheiros químicos, inclusive adaptados para pessoas com deficiência (PCD), podem envolver serviços adicionais necessários para garantir o pleno funcionamento e segurança durante os eventos. Entre eles, destacam-se o transporte e logística complementar, como distribuição em locais de difícil acesso; infraestrutura de apoio, incluindo tendas de proteção contra chuva ou sol intenso e rampas ou bases especiais para acessibilidade; segurança e monitoramento, para evitar vandalismo e controlar o acesso; e gestão de resíduos, </w:t>
      </w:r>
      <w:r>
        <w:rPr>
          <w:rFonts w:ascii="Arial" w:eastAsia="Arial" w:hAnsi="Arial" w:cs="Arial"/>
          <w:sz w:val="22"/>
          <w:szCs w:val="22"/>
        </w:rPr>
        <w:lastRenderedPageBreak/>
        <w:t xml:space="preserve">contemplando coleta, destinação e tratamento adequados, em conformidade com normas ambientais. </w:t>
      </w:r>
    </w:p>
    <w:p w:rsidR="000C1955" w:rsidRDefault="008B2F68" w:rsidP="00AC263A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interdependência dessas contratações dependerá das necessidades específicas de cada evento, sendo responsabilidade da Secretaria organizadora planejar e coordenar todas as ações, garantindo a execução plena e integrada dos serviços.</w:t>
      </w:r>
    </w:p>
    <w:p w:rsidR="00AC263A" w:rsidRDefault="00AC263A" w:rsidP="00AC263A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RESULTADOS PRETENDIDOS 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locação de painéis de LED tem como principal objetivo proporcionar qualidade visual e impacto nas apresentações dos eventos promovidos pela Secretaria Municipal de Turismo e Cultura. Os equipamentos permitirão a exibição de conteúdo audiovisual de forma clara e dinâmica, facilitando a comunicação com o público, destacando informações institucionais e artísticas, além de conferir maior profissionalismo e atratividade aos eventos. A utilização por registro de preços possibilita que os painéis sejam disponibilizados conforme a demanda, garantindo flexibilidade, agilidade e eficiência na organização das atividades.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locação de banheiros químicos, inclusive adaptados para pessoas com deficiência (PCD), busca assegurar condições adequadas de higiene, conforto e acessibilidade durante os eventos. A contratação por registro de preços permite disponibilizar unidades suficientes para o público, com transporte, instalação, manutenção, higienização e retirada realizadas de forma coordenada e eficiente. Dessa maneira, garante-se a segurança, a funcionalidade e a conformidade com normas de saúde, proporcionando uma experiência adequada e inclusiva para todos os participantes.</w:t>
      </w:r>
    </w:p>
    <w:p w:rsidR="00282CD3" w:rsidRDefault="008B2F68" w:rsidP="00282CD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 forma integrada, essas contratações contribuem para o planejamento eficiente, o controle operacional e a otimização de recursos públicos, assegurando que os eventos ocorram de maneira organizada, segura e com qualidade, atendendo às expectativas do público e às necessidades institucionais da Secretaria.</w:t>
      </w:r>
    </w:p>
    <w:p w:rsidR="00282CD3" w:rsidRDefault="00282CD3" w:rsidP="00282CD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AC263A" w:rsidRDefault="00AC263A" w:rsidP="00282CD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AC263A" w:rsidRPr="00282CD3" w:rsidRDefault="00AC263A" w:rsidP="00282CD3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left="-142" w:firstLine="426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 xml:space="preserve">PROVIDÊNCIAS A SEREM ADOTADAS 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Serão realizadas ações para garantir a contratação eficiente e a execução adequada dos serviços de locação de painéis de LED e banheiros químicos, incluindo unidades adaptadas para pessoas com deficiência (PCD). Para os painéis de LED, será definido o quantitativo, as especificações técnicas, os locais de instalação e o período de utilização, garantindo comunicação clara, visibilidade e impacto visual nos eventos. Para os banheiros químicos, serão definidas quantidades, posicionamento e logística de instalação, operação, higienização e retirada, assegurando conforto, higiene e acessibilidade ao público.</w:t>
      </w:r>
    </w:p>
    <w:p w:rsidR="00282CD3" w:rsidRDefault="008B2F68" w:rsidP="00AC263A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contratação será realizada via registro de preços, com fornecedores qualificados e responsáveis por todas as etapas de transporte, instalação, manutenção e operação dos equipamentos. A Secretaria Municipal de Turismo e a Secretaria Municipal de Cultura coordenam a fiscalização e integração com demais serviços do evento, garantindo que os serviços sejam executados com qualidade, segurança e eficiência, atendendo às necessidades institucionais e do público presente.</w:t>
      </w:r>
    </w:p>
    <w:p w:rsidR="00AC263A" w:rsidRDefault="00AC263A" w:rsidP="00AC263A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line="360" w:lineRule="auto"/>
        <w:ind w:hanging="360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POSSÍVEIS IMPACTOS AMBIENTAIS</w:t>
      </w:r>
    </w:p>
    <w:p w:rsidR="000C1955" w:rsidRDefault="008B2F6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realização dos eventos com locação de painéis de LED e banheiros químicos pode gerar impactos ambientais relacionados à produção de resíduos sólidos e líquidos, consumo de energia elétrica e eventual descarte inadequado de resíduos provenientes dos banheiros químicos. Também podem ocorrer pequenas interferências no solo e na circulação de pessoas devido à instalação das estruturas.</w:t>
      </w:r>
    </w:p>
    <w:p w:rsidR="000C1955" w:rsidRDefault="008B2F68">
      <w:pPr>
        <w:spacing w:before="240" w:after="240"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Para prevenir esses impactos, serão adotadas medidas como o correto manejo e destinação dos resíduos, higienização adequada e descarte regular dos efluentes dos banheiros químicos por empresa especializada, utilização responsável de energia elétrica e planejamento da instalação dos equipamentos de forma a minimizar interferências no espaço público e no meio ambiente.</w:t>
      </w:r>
    </w:p>
    <w:p w:rsidR="000C1955" w:rsidRDefault="000C195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:rsidR="000C1955" w:rsidRDefault="008B2F6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hanging="359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 xml:space="preserve">DECLARAÇÃO DE VIABILIDADE </w:t>
      </w:r>
    </w:p>
    <w:p w:rsidR="000C1955" w:rsidRDefault="008B2F68">
      <w:pP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Declaramos, para os devidos fins, que a contratação de serviços de locação, montagem, operação e suporte técnico de painéis de LED e banheiros químicos, inclusive </w:t>
      </w:r>
      <w:r>
        <w:rPr>
          <w:rFonts w:ascii="Arial" w:eastAsia="Arial" w:hAnsi="Arial" w:cs="Arial"/>
          <w:sz w:val="22"/>
          <w:szCs w:val="22"/>
        </w:rPr>
        <w:lastRenderedPageBreak/>
        <w:t>adaptados para pessoas com deficiência (PCD), é viável e atende às necessidades da Secretaria Municipal de Turismo e da Secretaria Municipal de Cultura para a realização dos eventos programados ao longo do exercício de 2026.</w:t>
      </w:r>
    </w:p>
    <w:p w:rsidR="000C1955" w:rsidRDefault="008B2F68">
      <w:pP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 opção pela locação se justifica por apresentar maior economicidade, flexibilidade e praticidade operacional, garantindo que os eventos ocorram com qualidade, segurança e eficiência, sem gerar custos adicionais com aquisição, manutenção ou armazenamento de equipamentos e estruturas.</w:t>
      </w:r>
    </w:p>
    <w:p w:rsidR="000C1955" w:rsidRDefault="008B2F68">
      <w:pPr>
        <w:spacing w:line="360" w:lineRule="auto"/>
        <w:ind w:firstLine="720"/>
        <w:jc w:val="both"/>
        <w:rPr>
          <w:rFonts w:ascii="Arial" w:eastAsia="Arial" w:hAnsi="Arial" w:cs="Arial"/>
          <w:sz w:val="22"/>
          <w:szCs w:val="22"/>
        </w:rPr>
      </w:pPr>
      <w:bookmarkStart w:id="4" w:name="_heading=h.shd73stp4z14" w:colFirst="0" w:colLast="0"/>
      <w:bookmarkEnd w:id="4"/>
      <w:r>
        <w:rPr>
          <w:rFonts w:ascii="Arial" w:eastAsia="Arial" w:hAnsi="Arial" w:cs="Arial"/>
          <w:sz w:val="22"/>
          <w:szCs w:val="22"/>
        </w:rPr>
        <w:t>Dessa forma, conclui-se que a execução do objeto contratual é financeiramente, tecnicamente e operacionalmente viável, estando em conformidade com a legislação vigente e com os princípios da administração pública.</w:t>
      </w:r>
    </w:p>
    <w:p w:rsidR="000C1955" w:rsidRDefault="000C1955">
      <w:pPr>
        <w:rPr>
          <w:rFonts w:ascii="Arial" w:eastAsia="Arial" w:hAnsi="Arial" w:cs="Arial"/>
          <w:color w:val="000000"/>
        </w:rPr>
      </w:pPr>
    </w:p>
    <w:p w:rsidR="000C1955" w:rsidRDefault="000C1955">
      <w:pPr>
        <w:rPr>
          <w:rFonts w:ascii="Arial" w:eastAsia="Arial" w:hAnsi="Arial" w:cs="Arial"/>
          <w:color w:val="000000"/>
        </w:rPr>
      </w:pPr>
    </w:p>
    <w:p w:rsidR="000C1955" w:rsidRDefault="008B2F68">
      <w:pPr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Bueno Brandão,</w:t>
      </w:r>
      <w:r>
        <w:rPr>
          <w:rFonts w:ascii="Arial" w:eastAsia="Arial" w:hAnsi="Arial" w:cs="Arial"/>
          <w:sz w:val="22"/>
          <w:szCs w:val="22"/>
        </w:rPr>
        <w:t xml:space="preserve"> 29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 </w:t>
      </w:r>
      <w:r>
        <w:rPr>
          <w:rFonts w:ascii="Arial" w:eastAsia="Arial" w:hAnsi="Arial" w:cs="Arial"/>
          <w:sz w:val="22"/>
          <w:szCs w:val="22"/>
        </w:rPr>
        <w:t>outubro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de 2025.</w:t>
      </w: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962A73" w:rsidRDefault="00962A73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7E1814" w:rsidRDefault="007E1814">
      <w:pPr>
        <w:rPr>
          <w:rFonts w:ascii="Arial" w:eastAsia="Arial" w:hAnsi="Arial" w:cs="Arial"/>
          <w:color w:val="FF0000"/>
          <w:sz w:val="22"/>
          <w:szCs w:val="22"/>
        </w:rPr>
      </w:pPr>
    </w:p>
    <w:p w:rsidR="007E1814" w:rsidRDefault="007E1814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8B2F68">
      <w:pPr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Nome: Adriele Garcia Costa</w:t>
      </w:r>
    </w:p>
    <w:p w:rsidR="000C1955" w:rsidRDefault="008B2F68">
      <w:pPr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Cargo: Chefe de Turismo</w:t>
      </w:r>
    </w:p>
    <w:p w:rsidR="000C1955" w:rsidRDefault="008B2F68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Matrícula: 3238</w:t>
      </w:r>
    </w:p>
    <w:p w:rsidR="00962A73" w:rsidRDefault="00962A73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:rsidR="007E1814" w:rsidRDefault="007E1814">
      <w:pPr>
        <w:jc w:val="center"/>
        <w:rPr>
          <w:rFonts w:ascii="Arial" w:eastAsia="Arial" w:hAnsi="Arial" w:cs="Arial"/>
          <w:b/>
          <w:sz w:val="22"/>
          <w:szCs w:val="22"/>
        </w:rPr>
      </w:pP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8B2F6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APROVO ESTE ESTUDO TÉCNICO PRELIMINAR E DETERMINO O INÍCIO DA IMEDIATA ELABORAÇÃO DO (S) RESPECTIVO (S) TERMO (S) DE REFERÊNCIA (S)</w:t>
      </w:r>
    </w:p>
    <w:p w:rsidR="000C1955" w:rsidRDefault="000C195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8B2F6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Bueno Brandão, </w:t>
      </w:r>
      <w:r>
        <w:rPr>
          <w:rFonts w:ascii="Arial" w:eastAsia="Arial" w:hAnsi="Arial" w:cs="Arial"/>
          <w:sz w:val="22"/>
          <w:szCs w:val="22"/>
        </w:rPr>
        <w:t>29 de outubro de 2025.</w:t>
      </w:r>
    </w:p>
    <w:p w:rsidR="000C1955" w:rsidRDefault="000C195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:rsidR="000C1955" w:rsidRDefault="000C195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7E1814" w:rsidRDefault="007E181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7E1814" w:rsidRDefault="007E181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0C195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:rsidR="000C1955" w:rsidRDefault="008B2F6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Douglas Augusto Coltri - CIENTE</w:t>
      </w:r>
    </w:p>
    <w:p w:rsidR="000C1955" w:rsidRDefault="008B2F68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Secretário de Turismo</w:t>
      </w:r>
    </w:p>
    <w:p w:rsidR="000C1955" w:rsidRDefault="000C195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jc w:val="center"/>
        <w:rPr>
          <w:rFonts w:ascii="Arial" w:eastAsia="Arial" w:hAnsi="Arial" w:cs="Arial"/>
          <w:i/>
          <w:color w:val="000000"/>
          <w:sz w:val="22"/>
          <w:szCs w:val="22"/>
        </w:rPr>
      </w:pPr>
    </w:p>
    <w:sectPr w:rsidR="000C1955">
      <w:headerReference w:type="default" r:id="rId9"/>
      <w:footerReference w:type="even" r:id="rId10"/>
      <w:footerReference w:type="default" r:id="rId11"/>
      <w:pgSz w:w="11906" w:h="16838"/>
      <w:pgMar w:top="1560" w:right="1133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5D26" w:rsidRDefault="00B55D26">
      <w:r>
        <w:separator/>
      </w:r>
    </w:p>
  </w:endnote>
  <w:endnote w:type="continuationSeparator" w:id="0">
    <w:p w:rsidR="00B55D26" w:rsidRDefault="00B55D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6D4C480-75FE-469E-AAFA-CAC264154B4C}"/>
    <w:embedBold r:id="rId2" w:fontKey="{E5DABCCB-708B-436C-B325-313BA2C09B8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76E0D13F-985A-434F-B157-BAE4CD12E70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Ecofont_Spranq_eco_Sans">
    <w:altName w:val="Malgun Gothic"/>
    <w:panose1 w:val="00000000000000000000"/>
    <w:charset w:val="00"/>
    <w:family w:val="roman"/>
    <w:notTrueType/>
    <w:pitch w:val="default"/>
  </w:font>
  <w:font w:name="WenQuanYi Micro Hei">
    <w:altName w:val="Times New Roman"/>
    <w:panose1 w:val="00000000000000000000"/>
    <w:charset w:val="00"/>
    <w:family w:val="roman"/>
    <w:notTrueType/>
    <w:pitch w:val="default"/>
  </w:font>
  <w:font w:name="Lohit Hindi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678B2CC-B837-465D-8590-DD10ED47EFF5}"/>
    <w:embedItalic r:id="rId5" w:fontKey="{5E1FB479-DD77-4B63-809B-1987721F9FF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DFCC9AD6-7C08-4DAE-B1CA-A330848D46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1955" w:rsidRDefault="008B2F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1955" w:rsidRDefault="008B2F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504F5">
      <w:rPr>
        <w:noProof/>
        <w:color w:val="000000"/>
      </w:rPr>
      <w:t>1</w:t>
    </w:r>
    <w:r>
      <w:rPr>
        <w:color w:val="000000"/>
      </w:rPr>
      <w:fldChar w:fldCharType="end"/>
    </w: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5D26" w:rsidRDefault="00B55D26">
      <w:r>
        <w:separator/>
      </w:r>
    </w:p>
  </w:footnote>
  <w:footnote w:type="continuationSeparator" w:id="0">
    <w:p w:rsidR="00B55D26" w:rsidRDefault="00B55D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C1955" w:rsidRDefault="008B2F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1003300</wp:posOffset>
              </wp:positionH>
              <wp:positionV relativeFrom="paragraph">
                <wp:posOffset>76200</wp:posOffset>
              </wp:positionV>
              <wp:extent cx="4370070" cy="714375"/>
              <wp:effectExtent l="0" t="0" r="0" b="0"/>
              <wp:wrapNone/>
              <wp:docPr id="6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165728" y="3427575"/>
                        <a:ext cx="4360545" cy="7048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C1955" w:rsidRDefault="008B2F68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PREFEITURA MUNICIPAL DE BUENO BRANDÃO</w:t>
                          </w:r>
                        </w:p>
                        <w:p w:rsidR="000C1955" w:rsidRDefault="008B2F68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ESTÂNCIA CLIMÁTICA E HIDROMINERAL</w:t>
                          </w:r>
                        </w:p>
                        <w:p w:rsidR="000C1955" w:rsidRDefault="008B2F68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28"/>
                            </w:rPr>
                            <w:t>CNPJ: 18.940.098/0001-22</w:t>
                          </w:r>
                        </w:p>
                        <w:p w:rsidR="000C1955" w:rsidRDefault="000C1955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tângulo 6" o:spid="_x0000_s1026" style="position:absolute;left:0;text-align:left;margin-left:79pt;margin-top:6pt;width:344.1pt;height:56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" stroked="f">
              <v:textbox inset="2.53958mm,1.2694mm,2.53958mm,1.2694mm">
                <w:txbxContent>
                  <w:p w:rsidR="000C1955" w:rsidRDefault="008B2F68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PREFEITURA MUNICIPAL DE BUENO BRANDÃO</w:t>
                    </w:r>
                  </w:p>
                  <w:p w:rsidR="000C1955" w:rsidRDefault="008B2F68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ESTÂNCIA CLIMÁTICA E HIDROMINERAL</w:t>
                    </w:r>
                  </w:p>
                  <w:p w:rsidR="000C1955" w:rsidRDefault="008B2F68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28"/>
                      </w:rPr>
                      <w:t>CNPJ: 18.940.098/0001-22</w:t>
                    </w:r>
                  </w:p>
                  <w:p w:rsidR="000C1955" w:rsidRDefault="000C1955">
                    <w:pPr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201295</wp:posOffset>
          </wp:positionH>
          <wp:positionV relativeFrom="paragraph">
            <wp:posOffset>-78102</wp:posOffset>
          </wp:positionV>
          <wp:extent cx="752475" cy="762000"/>
          <wp:effectExtent l="0" t="0" r="0" b="0"/>
          <wp:wrapNone/>
          <wp:docPr id="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2475" cy="76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931"/>
      </w:tabs>
      <w:jc w:val="center"/>
      <w:rPr>
        <w:rFonts w:ascii="Arial" w:eastAsia="Arial" w:hAnsi="Arial" w:cs="Arial"/>
        <w:b/>
        <w:color w:val="000000"/>
      </w:rPr>
    </w:pP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b/>
        <w:color w:val="000000"/>
      </w:rPr>
    </w:pP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color w:val="000000"/>
      </w:rPr>
    </w:pPr>
  </w:p>
  <w:p w:rsidR="000C1955" w:rsidRDefault="008B2F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b/>
        <w:color w:val="000000"/>
      </w:rPr>
    </w:pPr>
    <w:r>
      <w:rPr>
        <w:rFonts w:ascii="Arial" w:eastAsia="Arial" w:hAnsi="Arial" w:cs="Arial"/>
        <w:b/>
        <w:color w:val="000000"/>
      </w:rPr>
      <w:t>___________________________________________________________________</w:t>
    </w: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340"/>
      </w:tabs>
      <w:rPr>
        <w:color w:val="000000"/>
      </w:rPr>
    </w:pPr>
  </w:p>
  <w:p w:rsidR="000C1955" w:rsidRDefault="000C19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265A04"/>
    <w:multiLevelType w:val="multilevel"/>
    <w:tmpl w:val="0EBA68C8"/>
    <w:lvl w:ilvl="0">
      <w:start w:val="1"/>
      <w:numFmt w:val="bullet"/>
      <w:pStyle w:val="Nivel1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pStyle w:val="Nivel2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pStyle w:val="Nivel3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pStyle w:val="Nivel4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pStyle w:val="Nivel5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8467DCA"/>
    <w:multiLevelType w:val="multilevel"/>
    <w:tmpl w:val="15F46EFA"/>
    <w:lvl w:ilvl="0">
      <w:start w:val="5"/>
      <w:numFmt w:val="decimal"/>
      <w:lvlText w:val="%1."/>
      <w:lvlJc w:val="left"/>
      <w:pPr>
        <w:ind w:left="644" w:hanging="358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4A126E"/>
    <w:multiLevelType w:val="multilevel"/>
    <w:tmpl w:val="85487F6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79176C"/>
    <w:multiLevelType w:val="multilevel"/>
    <w:tmpl w:val="6EFA0F4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5C1718CB"/>
    <w:multiLevelType w:val="multilevel"/>
    <w:tmpl w:val="ACDACA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1955"/>
    <w:rsid w:val="000C1955"/>
    <w:rsid w:val="000C6CAD"/>
    <w:rsid w:val="00230195"/>
    <w:rsid w:val="00282CD3"/>
    <w:rsid w:val="00344461"/>
    <w:rsid w:val="00524375"/>
    <w:rsid w:val="0065525F"/>
    <w:rsid w:val="006A5B1A"/>
    <w:rsid w:val="006E05F7"/>
    <w:rsid w:val="007E1814"/>
    <w:rsid w:val="007E36A4"/>
    <w:rsid w:val="008B2F68"/>
    <w:rsid w:val="00962A73"/>
    <w:rsid w:val="00AC263A"/>
    <w:rsid w:val="00AD226B"/>
    <w:rsid w:val="00B55D26"/>
    <w:rsid w:val="00BF089A"/>
    <w:rsid w:val="00C504F5"/>
    <w:rsid w:val="00C8009C"/>
    <w:rsid w:val="00C871BF"/>
    <w:rsid w:val="00E00E78"/>
    <w:rsid w:val="00E90A38"/>
    <w:rsid w:val="00F51447"/>
    <w:rsid w:val="00FD0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B3F2D5-2469-431D-A35A-875B5E068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GradeMdia21">
    <w:name w:val="Grade Média 21"/>
    <w:uiPriority w:val="1"/>
    <w:qFormat/>
    <w:rsid w:val="000841AE"/>
    <w:rPr>
      <w:rFonts w:ascii="Calibri" w:eastAsia="Calibri" w:hAnsi="Calibri"/>
      <w:sz w:val="22"/>
      <w:szCs w:val="22"/>
    </w:rPr>
  </w:style>
  <w:style w:type="paragraph" w:styleId="NormalWeb">
    <w:name w:val="Normal (Web)"/>
    <w:basedOn w:val="Normal"/>
    <w:uiPriority w:val="99"/>
    <w:unhideWhenUsed/>
    <w:rsid w:val="00F57AF6"/>
    <w:pPr>
      <w:spacing w:before="100" w:beforeAutospacing="1" w:after="100" w:afterAutospacing="1"/>
    </w:pPr>
  </w:style>
  <w:style w:type="paragraph" w:styleId="PargrafodaLista">
    <w:name w:val="List Paragraph"/>
    <w:basedOn w:val="Normal"/>
    <w:link w:val="PargrafodaListaChar"/>
    <w:uiPriority w:val="34"/>
    <w:qFormat/>
    <w:rsid w:val="00F25EA8"/>
    <w:pPr>
      <w:ind w:left="720"/>
      <w:contextualSpacing/>
    </w:pPr>
  </w:style>
  <w:style w:type="character" w:customStyle="1" w:styleId="PargrafodaListaChar">
    <w:name w:val="Parágrafo da Lista Char"/>
    <w:link w:val="PargrafodaLista"/>
    <w:uiPriority w:val="34"/>
    <w:locked/>
    <w:rsid w:val="00F25EA8"/>
    <w:rPr>
      <w:rFonts w:ascii="Times New Roman" w:eastAsia="Times New Roman" w:hAnsi="Times New Roman" w:cs="Times New Roman"/>
      <w:lang w:eastAsia="pt-BR"/>
    </w:rPr>
  </w:style>
  <w:style w:type="paragraph" w:styleId="Rodap">
    <w:name w:val="footer"/>
    <w:basedOn w:val="Normal"/>
    <w:link w:val="RodapChar"/>
    <w:unhideWhenUsed/>
    <w:rsid w:val="000A382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0A3826"/>
    <w:rPr>
      <w:rFonts w:ascii="Times New Roman" w:eastAsia="Times New Roman" w:hAnsi="Times New Roman" w:cs="Times New Roman"/>
      <w:lang w:eastAsia="pt-BR"/>
    </w:rPr>
  </w:style>
  <w:style w:type="character" w:styleId="Nmerodepgina">
    <w:name w:val="page number"/>
    <w:basedOn w:val="Fontepargpadro"/>
    <w:uiPriority w:val="99"/>
    <w:semiHidden/>
    <w:unhideWhenUsed/>
    <w:rsid w:val="000A3826"/>
  </w:style>
  <w:style w:type="paragraph" w:styleId="Reviso">
    <w:name w:val="Revision"/>
    <w:hidden/>
    <w:uiPriority w:val="99"/>
    <w:semiHidden/>
    <w:rsid w:val="00977E17"/>
  </w:style>
  <w:style w:type="paragraph" w:styleId="Cabealho">
    <w:name w:val="header"/>
    <w:basedOn w:val="Normal"/>
    <w:link w:val="CabealhoChar"/>
    <w:unhideWhenUsed/>
    <w:rsid w:val="00AC0EA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AC0EA8"/>
    <w:rPr>
      <w:rFonts w:ascii="Times New Roman" w:eastAsia="Times New Roman" w:hAnsi="Times New Roman" w:cs="Times New Roman"/>
      <w:lang w:eastAsia="pt-BR"/>
    </w:rPr>
  </w:style>
  <w:style w:type="paragraph" w:styleId="Textodebalo">
    <w:name w:val="Balloon Text"/>
    <w:basedOn w:val="Normal"/>
    <w:link w:val="TextodebaloChar"/>
    <w:unhideWhenUsed/>
    <w:rsid w:val="00AC0EA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AC0EA8"/>
    <w:rPr>
      <w:rFonts w:ascii="Tahoma" w:eastAsia="Times New Roman" w:hAnsi="Tahoma" w:cs="Tahoma"/>
      <w:sz w:val="16"/>
      <w:szCs w:val="16"/>
      <w:lang w:eastAsia="pt-BR"/>
    </w:rPr>
  </w:style>
  <w:style w:type="paragraph" w:customStyle="1" w:styleId="Standard">
    <w:name w:val="Standard"/>
    <w:rsid w:val="003B34E0"/>
    <w:pPr>
      <w:widowControl w:val="0"/>
      <w:suppressAutoHyphens/>
      <w:autoSpaceDN w:val="0"/>
      <w:textAlignment w:val="baseline"/>
    </w:pPr>
    <w:rPr>
      <w:rFonts w:eastAsia="SimSun" w:cs="Tahoma"/>
      <w:kern w:val="3"/>
      <w:lang w:eastAsia="zh-CN" w:bidi="hi-IN"/>
    </w:rPr>
  </w:style>
  <w:style w:type="paragraph" w:customStyle="1" w:styleId="EPTabela">
    <w:name w:val="EP Tabela"/>
    <w:basedOn w:val="Normal"/>
    <w:rsid w:val="003B34E0"/>
    <w:pPr>
      <w:widowControl w:val="0"/>
      <w:suppressAutoHyphens/>
      <w:autoSpaceDN w:val="0"/>
      <w:jc w:val="center"/>
      <w:textAlignment w:val="baseline"/>
    </w:pPr>
    <w:rPr>
      <w:rFonts w:eastAsia="SimSun" w:cs="Arial"/>
      <w:b/>
      <w:kern w:val="3"/>
      <w:sz w:val="22"/>
      <w:lang w:eastAsia="ar-SA" w:bidi="hi-IN"/>
    </w:rPr>
  </w:style>
  <w:style w:type="paragraph" w:customStyle="1" w:styleId="EPConteudotabela">
    <w:name w:val="EP Conteudotabela"/>
    <w:basedOn w:val="Normal"/>
    <w:rsid w:val="003B34E0"/>
    <w:pPr>
      <w:widowControl w:val="0"/>
      <w:tabs>
        <w:tab w:val="left" w:pos="-302"/>
      </w:tabs>
      <w:suppressAutoHyphens/>
      <w:autoSpaceDN w:val="0"/>
      <w:spacing w:line="100" w:lineRule="atLeast"/>
      <w:ind w:left="23" w:firstLine="45"/>
      <w:textAlignment w:val="baseline"/>
    </w:pPr>
    <w:rPr>
      <w:rFonts w:eastAsia="SimSun" w:cs="Arial"/>
      <w:kern w:val="3"/>
      <w:lang w:eastAsia="ar-SA" w:bidi="hi-IN"/>
    </w:rPr>
  </w:style>
  <w:style w:type="paragraph" w:customStyle="1" w:styleId="Textbody">
    <w:name w:val="Text body"/>
    <w:basedOn w:val="Standard"/>
    <w:rsid w:val="003B34E0"/>
    <w:pPr>
      <w:spacing w:after="120"/>
    </w:pPr>
  </w:style>
  <w:style w:type="paragraph" w:customStyle="1" w:styleId="TableContents">
    <w:name w:val="Table Contents"/>
    <w:basedOn w:val="Standard"/>
    <w:rsid w:val="003B34E0"/>
    <w:pPr>
      <w:suppressLineNumbers/>
    </w:pPr>
  </w:style>
  <w:style w:type="table" w:styleId="Tabelacomgrade">
    <w:name w:val="Table Grid"/>
    <w:basedOn w:val="Tabelanormal"/>
    <w:rsid w:val="00BA1999"/>
    <w:pPr>
      <w:ind w:left="709" w:hanging="357"/>
      <w:jc w:val="both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har"/>
    <w:unhideWhenUsed/>
    <w:rsid w:val="00BA1999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BA1999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Refdenotaderodap">
    <w:name w:val="footnote reference"/>
    <w:basedOn w:val="Fontepargpadro"/>
    <w:unhideWhenUsed/>
    <w:rsid w:val="00BA1999"/>
    <w:rPr>
      <w:vertAlign w:val="superscript"/>
    </w:rPr>
  </w:style>
  <w:style w:type="paragraph" w:styleId="Corpodetexto">
    <w:name w:val="Body Text"/>
    <w:basedOn w:val="Normal"/>
    <w:link w:val="CorpodetextoChar"/>
    <w:qFormat/>
    <w:rsid w:val="0007345C"/>
    <w:pPr>
      <w:widowControl w:val="0"/>
      <w:autoSpaceDE w:val="0"/>
      <w:autoSpaceDN w:val="0"/>
    </w:pPr>
    <w:rPr>
      <w:b/>
      <w:bCs/>
      <w:sz w:val="27"/>
      <w:szCs w:val="27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rsid w:val="0007345C"/>
    <w:rPr>
      <w:rFonts w:ascii="Times New Roman" w:eastAsia="Times New Roman" w:hAnsi="Times New Roman" w:cs="Times New Roman"/>
      <w:b/>
      <w:bCs/>
      <w:sz w:val="27"/>
      <w:szCs w:val="27"/>
      <w:lang w:val="pt-PT"/>
    </w:rPr>
  </w:style>
  <w:style w:type="character" w:customStyle="1" w:styleId="halyaf">
    <w:name w:val="halyaf"/>
    <w:rsid w:val="0007345C"/>
  </w:style>
  <w:style w:type="paragraph" w:customStyle="1" w:styleId="Default">
    <w:name w:val="Default"/>
    <w:rsid w:val="00A63633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customStyle="1" w:styleId="SemEspaamento1">
    <w:name w:val="Sem Espaçamento1"/>
    <w:rsid w:val="005B5407"/>
    <w:rPr>
      <w:rFonts w:ascii="Calibri" w:hAnsi="Calibri" w:cs="Calibri"/>
      <w:sz w:val="22"/>
      <w:szCs w:val="22"/>
    </w:rPr>
  </w:style>
  <w:style w:type="paragraph" w:customStyle="1" w:styleId="SemEspaamento2">
    <w:name w:val="Sem Espaçamento2"/>
    <w:rsid w:val="005B5407"/>
    <w:rPr>
      <w:rFonts w:ascii="Calibri" w:hAnsi="Calibri" w:cs="Calibri"/>
      <w:sz w:val="22"/>
      <w:szCs w:val="22"/>
    </w:rPr>
  </w:style>
  <w:style w:type="character" w:customStyle="1" w:styleId="SemEspaamentoChar">
    <w:name w:val="Sem Espaçamento Char"/>
    <w:link w:val="SemEspaamento"/>
    <w:uiPriority w:val="1"/>
    <w:locked/>
    <w:rsid w:val="005B5407"/>
  </w:style>
  <w:style w:type="paragraph" w:styleId="SemEspaamento">
    <w:name w:val="No Spacing"/>
    <w:basedOn w:val="Normal"/>
    <w:link w:val="SemEspaamentoChar"/>
    <w:uiPriority w:val="1"/>
    <w:qFormat/>
    <w:rsid w:val="005B5407"/>
    <w:rPr>
      <w:rFonts w:asciiTheme="minorHAnsi" w:eastAsiaTheme="minorHAnsi" w:hAnsiTheme="minorHAnsi" w:cstheme="minorBidi"/>
      <w:lang w:eastAsia="en-US"/>
    </w:rPr>
  </w:style>
  <w:style w:type="paragraph" w:styleId="TextosemFormatao">
    <w:name w:val="Plain Text"/>
    <w:basedOn w:val="Normal"/>
    <w:link w:val="TextosemFormataoChar"/>
    <w:uiPriority w:val="99"/>
    <w:rsid w:val="005B5407"/>
    <w:rPr>
      <w:rFonts w:ascii="Courier New" w:hAnsi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5B5407"/>
    <w:rPr>
      <w:rFonts w:ascii="Courier New" w:eastAsia="Times New Roman" w:hAnsi="Courier New" w:cs="Times New Roman"/>
      <w:sz w:val="20"/>
      <w:szCs w:val="20"/>
      <w:lang w:eastAsia="pt-BR"/>
    </w:rPr>
  </w:style>
  <w:style w:type="paragraph" w:customStyle="1" w:styleId="SemEspaamento3">
    <w:name w:val="Sem Espaçamento3"/>
    <w:rsid w:val="005B5407"/>
    <w:rPr>
      <w:rFonts w:ascii="Calibri" w:hAnsi="Calibri" w:cs="Calibri"/>
      <w:sz w:val="22"/>
      <w:szCs w:val="22"/>
    </w:rPr>
  </w:style>
  <w:style w:type="paragraph" w:customStyle="1" w:styleId="PADRO">
    <w:name w:val="PADRÃO"/>
    <w:rsid w:val="00C463DC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ascii="Ecofont_Spranq_eco_Sans" w:eastAsia="WenQuanYi Micro Hei" w:hAnsi="Ecofont_Spranq_eco_Sans" w:cs="Lohit Hindi"/>
      <w:sz w:val="20"/>
      <w:lang w:eastAsia="zh-CN" w:bidi="hi-IN"/>
    </w:rPr>
  </w:style>
  <w:style w:type="paragraph" w:styleId="Corpodetexto3">
    <w:name w:val="Body Text 3"/>
    <w:basedOn w:val="Normal"/>
    <w:link w:val="Corpodetexto3Char"/>
    <w:rsid w:val="00F92A9C"/>
    <w:rPr>
      <w:szCs w:val="20"/>
    </w:rPr>
  </w:style>
  <w:style w:type="character" w:customStyle="1" w:styleId="Corpodetexto3Char">
    <w:name w:val="Corpo de texto 3 Char"/>
    <w:basedOn w:val="Fontepargpadro"/>
    <w:link w:val="Corpodetexto3"/>
    <w:rsid w:val="00F92A9C"/>
    <w:rPr>
      <w:rFonts w:ascii="Times New Roman" w:eastAsia="Times New Roman" w:hAnsi="Times New Roman" w:cs="Times New Roman"/>
      <w:szCs w:val="20"/>
      <w:lang w:eastAsia="pt-BR"/>
    </w:rPr>
  </w:style>
  <w:style w:type="paragraph" w:styleId="Recuodecorpodetexto">
    <w:name w:val="Body Text Indent"/>
    <w:basedOn w:val="Normal"/>
    <w:link w:val="RecuodecorpodetextoChar"/>
    <w:rsid w:val="00F92A9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F92A9C"/>
    <w:rPr>
      <w:rFonts w:ascii="Times New Roman" w:eastAsia="Times New Roman" w:hAnsi="Times New Roman" w:cs="Times New Roman"/>
      <w:lang w:eastAsia="pt-BR"/>
    </w:rPr>
  </w:style>
  <w:style w:type="paragraph" w:styleId="Recuodecorpodetexto3">
    <w:name w:val="Body Text Indent 3"/>
    <w:basedOn w:val="Normal"/>
    <w:link w:val="Recuodecorpodetexto3Char"/>
    <w:rsid w:val="00F92A9C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F92A9C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styleId="Forte">
    <w:name w:val="Strong"/>
    <w:uiPriority w:val="22"/>
    <w:qFormat/>
    <w:rsid w:val="00F92A9C"/>
    <w:rPr>
      <w:b/>
      <w:bCs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F92A9C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92A9C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customStyle="1" w:styleId="TableParagraph">
    <w:name w:val="Table Paragraph"/>
    <w:basedOn w:val="Normal"/>
    <w:uiPriority w:val="1"/>
    <w:qFormat/>
    <w:rsid w:val="00F92A9C"/>
    <w:pPr>
      <w:ind w:left="177" w:right="168"/>
      <w:jc w:val="center"/>
    </w:pPr>
    <w:rPr>
      <w:rFonts w:ascii="Arial" w:eastAsia="Arial" w:hAnsi="Arial" w:cs="Arial"/>
      <w:lang w:val="pt-PT" w:eastAsia="en-US"/>
    </w:rPr>
  </w:style>
  <w:style w:type="paragraph" w:customStyle="1" w:styleId="Nivel2">
    <w:name w:val="Nivel 2"/>
    <w:link w:val="Nivel2Char"/>
    <w:qFormat/>
    <w:rsid w:val="00F92A9C"/>
    <w:pPr>
      <w:numPr>
        <w:ilvl w:val="1"/>
        <w:numId w:val="3"/>
      </w:numPr>
      <w:spacing w:before="120" w:after="120" w:line="276" w:lineRule="auto"/>
      <w:jc w:val="both"/>
    </w:pPr>
    <w:rPr>
      <w:rFonts w:ascii="Ecofont_Spranq_eco_Sans" w:eastAsia="Arial Unicode MS" w:hAnsi="Ecofont_Spranq_eco_Sans"/>
      <w:sz w:val="20"/>
      <w:szCs w:val="20"/>
    </w:rPr>
  </w:style>
  <w:style w:type="paragraph" w:customStyle="1" w:styleId="Nivel1">
    <w:name w:val="Nivel 1"/>
    <w:basedOn w:val="Nivel2"/>
    <w:next w:val="Nivel2"/>
    <w:qFormat/>
    <w:rsid w:val="00F92A9C"/>
    <w:pPr>
      <w:numPr>
        <w:ilvl w:val="0"/>
      </w:numPr>
      <w:tabs>
        <w:tab w:val="num" w:pos="360"/>
        <w:tab w:val="num" w:pos="1065"/>
      </w:tabs>
      <w:ind w:left="858" w:hanging="432"/>
    </w:pPr>
    <w:rPr>
      <w:rFonts w:cs="Arial"/>
      <w:b/>
    </w:rPr>
  </w:style>
  <w:style w:type="paragraph" w:customStyle="1" w:styleId="Nivel3">
    <w:name w:val="Nivel 3"/>
    <w:basedOn w:val="Nivel2"/>
    <w:link w:val="Nivel3Char"/>
    <w:qFormat/>
    <w:rsid w:val="00F92A9C"/>
    <w:pPr>
      <w:numPr>
        <w:ilvl w:val="2"/>
      </w:numPr>
      <w:tabs>
        <w:tab w:val="num" w:pos="360"/>
        <w:tab w:val="num" w:pos="2505"/>
      </w:tabs>
      <w:ind w:left="2505"/>
    </w:pPr>
    <w:rPr>
      <w:rFonts w:cs="Arial"/>
      <w:color w:val="000000"/>
    </w:rPr>
  </w:style>
  <w:style w:type="paragraph" w:customStyle="1" w:styleId="Nivel4">
    <w:name w:val="Nivel 4"/>
    <w:basedOn w:val="Nivel3"/>
    <w:qFormat/>
    <w:rsid w:val="00F92A9C"/>
    <w:pPr>
      <w:numPr>
        <w:ilvl w:val="3"/>
      </w:numPr>
      <w:tabs>
        <w:tab w:val="num" w:pos="360"/>
        <w:tab w:val="num" w:pos="2160"/>
        <w:tab w:val="num" w:pos="2505"/>
        <w:tab w:val="num" w:pos="3225"/>
      </w:tabs>
      <w:ind w:left="3225"/>
    </w:pPr>
    <w:rPr>
      <w:color w:val="auto"/>
    </w:rPr>
  </w:style>
  <w:style w:type="paragraph" w:customStyle="1" w:styleId="Nivel5">
    <w:name w:val="Nivel 5"/>
    <w:basedOn w:val="Nivel4"/>
    <w:qFormat/>
    <w:rsid w:val="00F92A9C"/>
    <w:pPr>
      <w:numPr>
        <w:ilvl w:val="4"/>
      </w:numPr>
      <w:tabs>
        <w:tab w:val="num" w:pos="360"/>
        <w:tab w:val="num" w:pos="2160"/>
        <w:tab w:val="num" w:pos="3945"/>
      </w:tabs>
      <w:ind w:left="2232"/>
    </w:pPr>
  </w:style>
  <w:style w:type="character" w:customStyle="1" w:styleId="Nivel2Char">
    <w:name w:val="Nivel 2 Char"/>
    <w:basedOn w:val="Fontepargpadro"/>
    <w:link w:val="Nivel2"/>
    <w:locked/>
    <w:rsid w:val="00F92A9C"/>
    <w:rPr>
      <w:rFonts w:ascii="Ecofont_Spranq_eco_Sans" w:eastAsia="Arial Unicode MS" w:hAnsi="Ecofont_Spranq_eco_Sans" w:cs="Times New Roman"/>
      <w:sz w:val="20"/>
      <w:szCs w:val="20"/>
      <w:lang w:eastAsia="pt-BR"/>
    </w:rPr>
  </w:style>
  <w:style w:type="character" w:customStyle="1" w:styleId="Nivel3Char">
    <w:name w:val="Nivel 3 Char"/>
    <w:basedOn w:val="Fontepargpadro"/>
    <w:link w:val="Nivel3"/>
    <w:rsid w:val="00F92A9C"/>
    <w:rPr>
      <w:rFonts w:ascii="Ecofont_Spranq_eco_Sans" w:eastAsia="Arial Unicode MS" w:hAnsi="Ecofont_Spranq_eco_Sans" w:cs="Arial"/>
      <w:color w:val="000000"/>
      <w:sz w:val="20"/>
      <w:szCs w:val="20"/>
      <w:lang w:eastAsia="pt-BR"/>
    </w:rPr>
  </w:style>
  <w:style w:type="character" w:customStyle="1" w:styleId="selectable-text">
    <w:name w:val="selectable-text"/>
    <w:basedOn w:val="Fontepargpadro"/>
    <w:rsid w:val="00F92A9C"/>
  </w:style>
  <w:style w:type="paragraph" w:customStyle="1" w:styleId="ParagraphStyle">
    <w:name w:val="Paragraph Style"/>
    <w:rsid w:val="001744E8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lang w:val="x-none"/>
    </w:rPr>
  </w:style>
  <w:style w:type="paragraph" w:customStyle="1" w:styleId="Right">
    <w:name w:val="Right"/>
    <w:uiPriority w:val="99"/>
    <w:rsid w:val="001744E8"/>
    <w:pPr>
      <w:widowControl w:val="0"/>
      <w:autoSpaceDE w:val="0"/>
      <w:autoSpaceDN w:val="0"/>
      <w:adjustRightInd w:val="0"/>
      <w:jc w:val="right"/>
    </w:pPr>
    <w:rPr>
      <w:rFonts w:ascii="Arial" w:eastAsiaTheme="minorEastAsia" w:hAnsi="Arial" w:cs="Arial"/>
      <w:lang w:val="x-none"/>
    </w:rPr>
  </w:style>
  <w:style w:type="character" w:customStyle="1" w:styleId="Normaltext">
    <w:name w:val="Normal text"/>
    <w:uiPriority w:val="99"/>
    <w:rsid w:val="001744E8"/>
    <w:rPr>
      <w:sz w:val="20"/>
      <w:szCs w:val="20"/>
    </w:rPr>
  </w:style>
  <w:style w:type="table" w:customStyle="1" w:styleId="a">
    <w:basedOn w:val="TableNormal0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  <w:tblCellMar>
        <w:left w:w="1" w:type="dxa"/>
        <w:right w:w="1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pPr>
      <w:widowControl w:val="0"/>
    </w:pPr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91Wfc3QQP5Pvsd+97h/l+HM5uQ==">CgMxLjAaHwoBMBIaChgICVIUChJ0YWJsZS45Mmoxdmt5Y2w0M2oyDmguMm54cGpnNXcwZ282Mg5oLm5hbHd0bXIzZnNqYzIOaC5lcW5jcXdjeHdhYWIyDmguc2hkNzNzdHA0ejE0Mg5oLnNoZDczc3RwNHoxNDIOaC5zaGQ3M3N0cDR6MTQ4AHIhMTJOQ3BMVTJOemJ2UzI4T2kxOHhLOUdVTmxxel9PRnhx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0E5CFA1-C93A-4963-BA24-26A94E9CB6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3430</Words>
  <Characters>18528</Characters>
  <Application>Microsoft Office Word</Application>
  <DocSecurity>0</DocSecurity>
  <Lines>154</Lines>
  <Paragraphs>43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Priscila Ramos Netto Viana Priscila Ramos Netto Viana</dc:creator>
  <cp:lastModifiedBy>USER</cp:lastModifiedBy>
  <cp:revision>2</cp:revision>
  <dcterms:created xsi:type="dcterms:W3CDTF">2025-12-29T19:11:00Z</dcterms:created>
  <dcterms:modified xsi:type="dcterms:W3CDTF">2025-12-29T19:11:00Z</dcterms:modified>
</cp:coreProperties>
</file>